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svgz" ContentType="image/svg+xml;base64"/>
  <Override PartName="/word/media/rId201.svgz" ContentType="image/svg+xml;base64"/>
  <Override PartName="/word/media/rId95.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Mangrove and Coastal Wetland Accounting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TG-6.2 Section 6: Thematic Methodologies Applied Draft TG-6.2 Applied Draft Section 6 Section 6: Thematic Methodologies mangrove coastal wetland saltmarsh blue carbon coastal protection nursery habitat extent mapping REDD+ SEEA SEEA EA mangroves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TG-6.2</w:t>
            </w:r>
          </w:p>
        </w:tc>
      </w:tr>
      <w:tr>
        <w:tc>
          <w:tcPr/>
          <w:p>
            <w:pPr>
              <w:pStyle w:val="Compact"/>
              <w:jc w:val="left"/>
            </w:pPr>
            <w:r>
              <w:rPr>
                <w:bCs/>
                <w:b/>
                <w:lang w:val="en"/>
              </w:rPr>
              <w:t xml:space="preserve">Version</w:t>
            </w:r>
          </w:p>
        </w:tc>
        <w:tc>
          <w:tcPr/>
          <w:p>
            <w:pPr>
              <w:pStyle w:val="Compact"/>
              <w:jc w:val="left"/>
            </w:pPr>
            <w:r>
              <w:rPr>
                <w:lang w:val="en"/>
              </w:rPr>
              <w:t xml:space="preserve">0.8.2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TG-6.2 · Section 6: Thematic Methodologies · 1 September 2026</w:t>
      </w:r>
    </w:p>
    <w:bookmarkStart w:id="26" w:name="mangrove-and-coastal-wetland-accounting"/>
    <w:p>
      <w:pPr>
        <w:pStyle w:val="Heading1"/>
      </w:pPr>
      <w:r>
        <w:rPr>
          <w:lang w:val="en"/>
        </w:rPr>
        <w:t xml:space="preserve">Mangrove and Coastal Wetland Accounting</w:t>
      </w:r>
    </w:p>
    <w:p>
      <w:pPr>
        <w:pStyle w:val="FirstParagraph"/>
      </w:pPr>
      <w:r>
        <w:rPr>
          <w:lang w:val="en"/>
        </w:rPr>
        <w:t xml:space="preserve">Provides guidance on compiling ecosystem accounts for mangroves and coastal wetlands.</w:t>
      </w:r>
    </w:p>
    <w:p>
      <w:pPr>
        <w:pStyle w:val="DefinitionTerm"/>
      </w:pPr>
      <w:r>
        <w:rPr>
          <w:lang w:val="en"/>
        </w:rPr>
        <w:t xml:space="preserve">Version</w:t>
      </w:r>
    </w:p>
    <w:p>
      <w:pPr>
        <w:pStyle w:val="Definition"/>
      </w:pPr>
      <w:r>
        <w:rPr>
          <w:lang w:val="en"/>
        </w:rPr>
        <w:t xml:space="preserve">0.8.2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fcb737a3d10323b559bb6c6fc32ce4397d23d78">
        <w:r>
          <w:rPr>
            <w:rStyle w:val="Hyperlink"/>
            <w:lang w:val="en"/>
          </w:rPr>
          <w:t xml:space="preserve">3.1 Extent Accounting</w:t>
        </w:r>
      </w:hyperlink>
    </w:p>
    <w:p>
      <w:pPr>
        <w:numPr>
          <w:ilvl w:val="1"/>
          <w:numId w:val="1002"/>
        </w:numPr>
        <w:pStyle w:val="Compact"/>
      </w:pPr>
      <w:hyperlink w:anchor="Xb6262516ad556d9321713604cccc2a2efe5894f">
        <w:r>
          <w:rPr>
            <w:rStyle w:val="Hyperlink"/>
            <w:lang w:val="en"/>
          </w:rPr>
          <w:t xml:space="preserve">3.2 Condition Assessment</w:t>
        </w:r>
      </w:hyperlink>
    </w:p>
    <w:p>
      <w:pPr>
        <w:numPr>
          <w:ilvl w:val="1"/>
          <w:numId w:val="1002"/>
        </w:numPr>
        <w:pStyle w:val="Compact"/>
      </w:pPr>
      <w:hyperlink w:anchor="X131bfe70d6fb536f452a50c1316e48400fe7dc8">
        <w:r>
          <w:rPr>
            <w:rStyle w:val="Hyperlink"/>
            <w:lang w:val="en"/>
          </w:rPr>
          <w:t xml:space="preserve">3.3 Blue Carbon Services</w:t>
        </w:r>
      </w:hyperlink>
    </w:p>
    <w:p>
      <w:pPr>
        <w:numPr>
          <w:ilvl w:val="1"/>
          <w:numId w:val="1002"/>
        </w:numPr>
        <w:pStyle w:val="Compact"/>
      </w:pPr>
      <w:hyperlink w:anchor="X08b00b585f06c1312de2bd647995febec7071b4">
        <w:r>
          <w:rPr>
            <w:rStyle w:val="Hyperlink"/>
            <w:lang w:val="en"/>
          </w:rPr>
          <w:t xml:space="preserve">3.4 Coastal Protection Services</w:t>
        </w:r>
      </w:hyperlink>
    </w:p>
    <w:p>
      <w:pPr>
        <w:numPr>
          <w:ilvl w:val="1"/>
          <w:numId w:val="1002"/>
        </w:numPr>
        <w:pStyle w:val="Compact"/>
      </w:pPr>
      <w:hyperlink w:anchor="Xedd5b431e7b686e16fe87e65c3641ce80f6e4e8">
        <w:r>
          <w:rPr>
            <w:rStyle w:val="Hyperlink"/>
            <w:lang w:val="en"/>
          </w:rPr>
          <w:t xml:space="preserve">3.5 Nursery Habitat Services</w:t>
        </w:r>
      </w:hyperlink>
    </w:p>
    <w:p>
      <w:pPr>
        <w:numPr>
          <w:ilvl w:val="1"/>
          <w:numId w:val="1002"/>
        </w:numPr>
        <w:pStyle w:val="Compact"/>
      </w:pPr>
      <w:hyperlink w:anchor="Xc12d35d6a2e52e12adb58f56af8b320d3fcc96a">
        <w:r>
          <w:rPr>
            <w:rStyle w:val="Hyperlink"/>
            <w:lang w:val="en"/>
          </w:rPr>
          <w:t xml:space="preserve">3.6 Valuation Methods</w:t>
        </w:r>
      </w:hyperlink>
    </w:p>
    <w:p>
      <w:pPr>
        <w:numPr>
          <w:ilvl w:val="1"/>
          <w:numId w:val="1002"/>
        </w:numPr>
        <w:pStyle w:val="Compact"/>
      </w:pPr>
      <w:hyperlink w:anchor="Xa423ff8feff6362a5c965699a29946a67a36c23">
        <w:r>
          <w:rPr>
            <w:rStyle w:val="Hyperlink"/>
            <w:lang w:val="en"/>
          </w:rPr>
          <w:t xml:space="preserve">3.7 Compilation Procedure</w:t>
        </w:r>
      </w:hyperlink>
    </w:p>
    <w:p>
      <w:pPr>
        <w:numPr>
          <w:ilvl w:val="1"/>
          <w:numId w:val="1002"/>
        </w:numPr>
        <w:pStyle w:val="Compact"/>
      </w:pPr>
      <w:hyperlink w:anchor="X904e550dc63d6d4bb6f57d3cba96d5ed05df4a7">
        <w:r>
          <w:rPr>
            <w:rStyle w:val="Hyperlink"/>
            <w:lang w:val="en"/>
          </w:rPr>
          <w:t xml:space="preserve">3.8 Worked Example</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472497f02f4be431eeb5d0475ca9d67bb1e1f52">
        <w:r>
          <w:rPr>
            <w:rStyle w:val="Hyperlink"/>
            <w:lang w:val="en"/>
          </w:rPr>
          <w:t xml:space="preserve">5. References and Further Reading</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Mangrove and Coastal Wetland Accounting (2026) (GOAP Technical Guidance on Ocean Accounting, TG-6.2, v0.8.2). GOAP Secretariat. https://guidance.oceanaccounts.org/circulars/section-6/6-2-mangrove-wetland/</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compiling ecosystem accounts for mangroves and coastal wetlands. The accounts support four policy applications:</w:t>
      </w:r>
      <w:r>
        <w:rPr>
          <w:lang w:val="en"/>
        </w:rPr>
        <w:t xml:space="preserve"> </w:t>
      </w:r>
      <w:r>
        <w:rPr>
          <w:bCs/>
          <w:b/>
          <w:lang w:val="en"/>
        </w:rPr>
        <w:t xml:space="preserve">blue carbon credit verification</w:t>
      </w:r>
      <w:r>
        <w:rPr>
          <w:lang w:val="en"/>
        </w:rPr>
        <w:t xml:space="preserve"> </w:t>
      </w:r>
      <w:r>
        <w:rPr>
          <w:lang w:val="en"/>
        </w:rPr>
        <w:t xml:space="preserve">for voluntary and compliance carbon markets;</w:t>
      </w:r>
      <w:r>
        <w:rPr>
          <w:lang w:val="en"/>
        </w:rPr>
        <w:t xml:space="preserve"> </w:t>
      </w:r>
      <w:r>
        <w:rPr>
          <w:bCs/>
          <w:b/>
          <w:lang w:val="en"/>
        </w:rPr>
        <w:t xml:space="preserve">coastal protection valuation</w:t>
      </w:r>
      <w:r>
        <w:rPr>
          <w:lang w:val="en"/>
        </w:rPr>
        <w:t xml:space="preserve"> </w:t>
      </w:r>
      <w:r>
        <w:rPr>
          <w:lang w:val="en"/>
        </w:rPr>
        <w:t xml:space="preserve">for infrastructure planning;</w:t>
      </w:r>
      <w:r>
        <w:rPr>
          <w:lang w:val="en"/>
        </w:rPr>
        <w:t xml:space="preserve"> </w:t>
      </w:r>
      <w:r>
        <w:rPr>
          <w:bCs/>
          <w:b/>
          <w:lang w:val="en"/>
        </w:rPr>
        <w:t xml:space="preserve">mangrove restoration prioritisation</w:t>
      </w:r>
      <w:r>
        <w:rPr>
          <w:lang w:val="en"/>
        </w:rPr>
        <w:t xml:space="preserve"> </w:t>
      </w:r>
      <w:r>
        <w:rPr>
          <w:lang w:val="en"/>
        </w:rPr>
        <w:t xml:space="preserve">for climate adaptation; and</w:t>
      </w:r>
      <w:r>
        <w:rPr>
          <w:lang w:val="en"/>
        </w:rPr>
        <w:t xml:space="preserve"> </w:t>
      </w:r>
      <w:r>
        <w:rPr>
          <w:bCs/>
          <w:b/>
          <w:lang w:val="en"/>
        </w:rPr>
        <w:t xml:space="preserve">REDD+ coastal extension</w:t>
      </w:r>
      <w:r>
        <w:rPr>
          <w:lang w:val="en"/>
        </w:rPr>
        <w:t xml:space="preserve"> </w:t>
      </w:r>
      <w:r>
        <w:rPr>
          <w:lang w:val="en"/>
        </w:rPr>
        <w:t xml:space="preserve">for nationally determined contributions under the Paris Agreement.</w:t>
      </w:r>
    </w:p>
    <w:p>
      <w:pPr>
        <w:pStyle w:val="BodyText"/>
      </w:pPr>
      <w:r>
        <w:rPr>
          <w:lang w:val="en"/>
        </w:rPr>
        <w:t xml:space="preserve">¶2</w:t>
      </w:r>
      <w:r>
        <w:rPr>
          <w:lang w:val="en"/>
        </w:rPr>
        <w:t xml:space="preserve"> </w:t>
      </w:r>
      <w:r>
        <w:rPr>
          <w:lang w:val="en"/>
        </w:rPr>
        <w:t xml:space="preserve">This Circular connects to</w:t>
      </w:r>
      <w:r>
        <w:rPr>
          <w:lang w:val="en"/>
        </w:rPr>
        <w:t xml:space="preserve"> </w:t>
      </w:r>
      <w:hyperlink r:id="rId32">
        <w:r>
          <w:rPr>
            <w:rStyle w:val="Hyperlink"/>
            <w:bCs/>
            <w:b/>
            <w:lang w:val="en"/>
          </w:rPr>
          <w:t xml:space="preserve">TG-2.8 Climate Change Indicators</w:t>
        </w:r>
      </w:hyperlink>
      <w:r>
        <w:rPr>
          <w:lang w:val="en"/>
        </w:rPr>
        <w:t xml:space="preserve">, which draws on blue carbon sequestration rates compiled here;</w:t>
      </w:r>
      <w:r>
        <w:rPr>
          <w:lang w:val="en"/>
        </w:rPr>
        <w:t xml:space="preserve"> </w:t>
      </w:r>
      <w:hyperlink r:id="rId33">
        <w:r>
          <w:rPr>
            <w:rStyle w:val="Hyperlink"/>
            <w:bCs/>
            <w:b/>
            <w:lang w:val="en"/>
          </w:rPr>
          <w:t xml:space="preserve">TG-2.9 Disaster Risk Indicators</w:t>
        </w:r>
      </w:hyperlink>
      <w:r>
        <w:rPr>
          <w:lang w:val="en"/>
        </w:rPr>
        <w:t xml:space="preserve">, which uses coastal protection measurements from Section 3.4; and</w:t>
      </w:r>
      <w:r>
        <w:rPr>
          <w:lang w:val="en"/>
        </w:rPr>
        <w:t xml:space="preserve"> </w:t>
      </w:r>
      <w:hyperlink r:id="rId34">
        <w:r>
          <w:rPr>
            <w:rStyle w:val="Hyperlink"/>
            <w:bCs/>
            <w:b/>
            <w:lang w:val="en"/>
          </w:rPr>
          <w:t xml:space="preserve">TG-1.8 OA and Project-Level Finance</w:t>
        </w:r>
      </w:hyperlink>
      <w:r>
        <w:rPr>
          <w:lang w:val="en"/>
        </w:rPr>
        <w:t xml:space="preserve">, which applies carbon accounts and service valuations to blue bonds, debt-for-nature swaps, and payments for ecosystem services.</w:t>
      </w:r>
    </w:p>
    <w:p>
      <w:pPr>
        <w:pStyle w:val="BodyText"/>
      </w:pPr>
      <w:r>
        <w:rPr>
          <w:lang w:val="en"/>
        </w:rPr>
        <w:t xml:space="preserve">¶3</w:t>
      </w:r>
      <w:r>
        <w:rPr>
          <w:lang w:val="en"/>
        </w:rPr>
        <w:t xml:space="preserve"> </w:t>
      </w:r>
      <w:r>
        <w:rPr>
          <w:lang w:val="en"/>
        </w:rPr>
        <w:t xml:space="preserve">This Circular is one of four thematic ecosystem circulars — alongside</w:t>
      </w:r>
      <w:r>
        <w:rPr>
          <w:lang w:val="en"/>
        </w:rPr>
        <w:t xml:space="preserve"> </w:t>
      </w:r>
      <w:hyperlink r:id="rId35">
        <w:r>
          <w:rPr>
            <w:rStyle w:val="Hyperlink"/>
            <w:bCs/>
            <w:b/>
            <w:lang w:val="en"/>
          </w:rPr>
          <w:t xml:space="preserve">TG-6.1 Coral Reef Accounting</w:t>
        </w:r>
      </w:hyperlink>
      <w:r>
        <w:rPr>
          <w:lang w:val="en"/>
        </w:rPr>
        <w:t xml:space="preserve">,</w:t>
      </w:r>
      <w:r>
        <w:rPr>
          <w:lang w:val="en"/>
        </w:rPr>
        <w:t xml:space="preserve"> </w:t>
      </w:r>
      <w:hyperlink r:id="rId36">
        <w:r>
          <w:rPr>
            <w:rStyle w:val="Hyperlink"/>
            <w:bCs/>
            <w:b/>
            <w:lang w:val="en"/>
          </w:rPr>
          <w:t xml:space="preserve">TG-6.3 Seagrass Ecosystem Accounting</w:t>
        </w:r>
      </w:hyperlink>
      <w:r>
        <w:rPr>
          <w:lang w:val="en"/>
        </w:rPr>
        <w:t xml:space="preserve"> </w:t>
      </w:r>
      <w:r>
        <w:rPr>
          <w:lang w:val="en"/>
        </w:rPr>
        <w:t xml:space="preserve">and</w:t>
      </w:r>
      <w:r>
        <w:rPr>
          <w:lang w:val="en"/>
        </w:rPr>
        <w:t xml:space="preserve"> </w:t>
      </w:r>
      <w:hyperlink r:id="rId37">
        <w:r>
          <w:rPr>
            <w:rStyle w:val="Hyperlink"/>
            <w:bCs/>
            <w:b/>
            <w:lang w:val="en"/>
          </w:rPr>
          <w:t xml:space="preserve">TG-6.4 Kelp Forest and Temperate Reef Accounting</w:t>
        </w:r>
      </w:hyperlink>
      <w:r>
        <w:rPr>
          <w:lang w:val="en"/>
        </w:rPr>
        <w:t xml:space="preserve"> </w:t>
      </w:r>
      <w:r>
        <w:rPr>
          <w:lang w:val="en"/>
        </w:rPr>
        <w:t xml:space="preserve">— that apply the generic ecosystem asset method in</w:t>
      </w:r>
      <w:r>
        <w:rPr>
          <w:lang w:val="en"/>
        </w:rPr>
        <w:t xml:space="preserve"> </w:t>
      </w:r>
      <w:hyperlink r:id="rId38">
        <w:r>
          <w:rPr>
            <w:rStyle w:val="Hyperlink"/>
            <w:bCs/>
            <w:b/>
            <w:lang w:val="en"/>
          </w:rPr>
          <w:t xml:space="preserve">TG-3.1 Asset Accounts</w:t>
        </w:r>
      </w:hyperlink>
      <w:r>
        <w:rPr>
          <w:lang w:val="en"/>
        </w:rPr>
        <w:t xml:space="preserve">, the extent methods in</w:t>
      </w:r>
      <w:r>
        <w:rPr>
          <w:lang w:val="en"/>
        </w:rPr>
        <w:t xml:space="preserve"> </w:t>
      </w:r>
      <w:hyperlink r:id="rId39">
        <w:r>
          <w:rPr>
            <w:rStyle w:val="Hyperlink"/>
            <w:bCs/>
            <w:b/>
            <w:lang w:val="en"/>
          </w:rPr>
          <w:t xml:space="preserve">TG-4.1</w:t>
        </w:r>
      </w:hyperlink>
      <w:r>
        <w:rPr>
          <w:lang w:val="en"/>
        </w:rPr>
        <w:t xml:space="preserve"> </w:t>
      </w:r>
      <w:r>
        <w:rPr>
          <w:lang w:val="en"/>
        </w:rPr>
        <w:t xml:space="preserve">and the condition methods in</w:t>
      </w:r>
      <w:r>
        <w:rPr>
          <w:lang w:val="en"/>
        </w:rPr>
        <w:t xml:space="preserve"> </w:t>
      </w:r>
      <w:hyperlink r:id="rId40">
        <w:r>
          <w:rPr>
            <w:rStyle w:val="Hyperlink"/>
            <w:bCs/>
            <w:b/>
            <w:lang w:val="en"/>
          </w:rPr>
          <w:t xml:space="preserve">TG-4.8</w:t>
        </w:r>
      </w:hyperlink>
      <w:r>
        <w:rPr>
          <w:lang w:val="en"/>
        </w:rPr>
        <w:t xml:space="preserve"> </w:t>
      </w:r>
      <w:r>
        <w:rPr>
          <w:lang w:val="en"/>
        </w:rPr>
        <w:t xml:space="preserve">and</w:t>
      </w:r>
      <w:r>
        <w:rPr>
          <w:lang w:val="en"/>
        </w:rPr>
        <w:t xml:space="preserve"> </w:t>
      </w:r>
      <w:hyperlink r:id="rId41">
        <w:r>
          <w:rPr>
            <w:rStyle w:val="Hyperlink"/>
            <w:bCs/>
            <w:b/>
            <w:lang w:val="en"/>
          </w:rPr>
          <w:t xml:space="preserve">TG-4.9</w:t>
        </w:r>
      </w:hyperlink>
      <w:r>
        <w:rPr>
          <w:lang w:val="en"/>
        </w:rPr>
        <w:t xml:space="preserve"> </w:t>
      </w:r>
      <w:r>
        <w:rPr>
          <w:lang w:val="en"/>
        </w:rPr>
        <w:t xml:space="preserve">to one coastal ecosystem type each. The four are peers: none is a prerequisite for another, and each is compiled independently. Estuarine and deltaic assets influenced by catchment inputs are carried forward in</w:t>
      </w:r>
      <w:r>
        <w:rPr>
          <w:lang w:val="en"/>
        </w:rPr>
        <w:t xml:space="preserve"> </w:t>
      </w:r>
      <w:hyperlink r:id="rId42">
        <w:r>
          <w:rPr>
            <w:rStyle w:val="Hyperlink"/>
            <w:bCs/>
            <w:b/>
            <w:lang w:val="en"/>
          </w:rPr>
          <w:t xml:space="preserve">TG-6.13 Freshwater-Marine Interaction Accounting</w:t>
        </w:r>
      </w:hyperlink>
      <w:r>
        <w:rPr>
          <w:lang w:val="en"/>
        </w:rPr>
        <w:t xml:space="preserve">.</w:t>
      </w:r>
    </w:p>
    <w:p>
      <w:pPr>
        <w:pStyle w:val="BodyText"/>
      </w:pPr>
      <w:r>
        <w:rPr>
          <w:lang w:val="en"/>
        </w:rPr>
        <w:t xml:space="preserve">¶4</w:t>
      </w:r>
      <w:r>
        <w:rPr>
          <w:lang w:val="en"/>
        </w:rPr>
        <w:t xml:space="preserve"> </w:t>
      </w:r>
      <w:r>
        <w:drawing>
          <wp:inline>
            <wp:extent cx="152400" cy="152400"/>
            <wp:effectExtent b="0" l="0" r="0" t="0"/>
            <wp:docPr descr="" title="" id="44"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¶5</w:t>
      </w:r>
      <w:r>
        <w:rPr>
          <w:lang w:val="en"/>
        </w:rPr>
        <w:t xml:space="preserve"> </w:t>
      </w:r>
      <w:r>
        <w:rPr>
          <w:lang w:val="en"/>
        </w:rPr>
        <w:t xml:space="preserve">This Circular owns the extent, condition, service and asset accounts for</w:t>
      </w:r>
      <w:r>
        <w:rPr>
          <w:lang w:val="en"/>
        </w:rPr>
        <w:t xml:space="preserve"> </w:t>
      </w:r>
      <w:r>
        <w:rPr>
          <w:bCs/>
          <w:b/>
          <w:lang w:val="en"/>
        </w:rPr>
        <w:t xml:space="preserve">IUCN GET MFT1.1 coastal river deltas, MFT1.2 mangroves and MFT1.3 coastal saltmarshes and reedbeds</w:t>
      </w:r>
      <w:r>
        <w:rPr>
          <w:lang w:val="en"/>
        </w:rPr>
        <w:t xml:space="preserve">. It also owns the</w:t>
      </w:r>
      <w:r>
        <w:rPr>
          <w:lang w:val="en"/>
        </w:rPr>
        <w:t xml:space="preserve"> </w:t>
      </w:r>
      <w:r>
        <w:rPr>
          <w:bCs/>
          <w:b/>
          <w:lang w:val="en"/>
        </w:rPr>
        <w:t xml:space="preserve">blue carbon pricing rule</w:t>
      </w:r>
      <w:r>
        <w:rPr>
          <w:lang w:val="en"/>
        </w:rPr>
        <w:t xml:space="preserve"> </w:t>
      </w:r>
      <w:r>
        <w:rPr>
          <w:lang w:val="en"/>
        </w:rPr>
        <w:t xml:space="preserve">for the publication (Section 3.6): the SEEA EA two-component model, applied identically across all blue carbon ecosystems.</w:t>
      </w:r>
    </w:p>
    <w:p>
      <w:pPr>
        <w:pStyle w:val="BodyText"/>
      </w:pPr>
      <w:r>
        <w:rPr>
          <w:lang w:val="en"/>
        </w:rPr>
        <w:t xml:space="preserve">¶6</w:t>
      </w:r>
      <w:r>
        <w:rPr>
          <w:lang w:val="en"/>
        </w:rPr>
        <w:t xml:space="preserve"> </w:t>
      </w:r>
      <w:r>
        <w:rPr>
          <w:lang w:val="en"/>
        </w:rPr>
        <w:t xml:space="preserve">It cross-refers for the account structure (</w:t>
      </w:r>
      <w:hyperlink r:id="rId38">
        <w:r>
          <w:rPr>
            <w:rStyle w:val="Hyperlink"/>
            <w:bCs/>
            <w:b/>
            <w:lang w:val="en"/>
          </w:rPr>
          <w:t xml:space="preserve">TG-3.1</w:t>
        </w:r>
      </w:hyperlink>
      <w:r>
        <w:rPr>
          <w:lang w:val="en"/>
        </w:rPr>
        <w:t xml:space="preserve">), extent and condition measurement (</w:t>
      </w:r>
      <w:hyperlink r:id="rId39">
        <w:r>
          <w:rPr>
            <w:rStyle w:val="Hyperlink"/>
            <w:bCs/>
            <w:b/>
            <w:lang w:val="en"/>
          </w:rPr>
          <w:t xml:space="preserve">TG-4.1</w:t>
        </w:r>
      </w:hyperlink>
      <w:r>
        <w:rPr>
          <w:lang w:val="en"/>
        </w:rPr>
        <w:t xml:space="preserve">,</w:t>
      </w:r>
      <w:r>
        <w:rPr>
          <w:lang w:val="en"/>
        </w:rPr>
        <w:t xml:space="preserve"> </w:t>
      </w:r>
      <w:hyperlink r:id="rId40">
        <w:r>
          <w:rPr>
            <w:rStyle w:val="Hyperlink"/>
            <w:bCs/>
            <w:b/>
            <w:lang w:val="en"/>
          </w:rPr>
          <w:t xml:space="preserve">TG-4.8</w:t>
        </w:r>
      </w:hyperlink>
      <w:r>
        <w:rPr>
          <w:lang w:val="en"/>
        </w:rPr>
        <w:t xml:space="preserve">,</w:t>
      </w:r>
      <w:r>
        <w:rPr>
          <w:lang w:val="en"/>
        </w:rPr>
        <w:t xml:space="preserve"> </w:t>
      </w:r>
      <w:hyperlink r:id="rId41">
        <w:r>
          <w:rPr>
            <w:rStyle w:val="Hyperlink"/>
            <w:bCs/>
            <w:b/>
            <w:lang w:val="en"/>
          </w:rPr>
          <w:t xml:space="preserve">TG-4.9</w:t>
        </w:r>
      </w:hyperlink>
      <w:r>
        <w:rPr>
          <w:lang w:val="en"/>
        </w:rPr>
        <w:t xml:space="preserve">) and valuation principles (</w:t>
      </w:r>
      <w:hyperlink r:id="rId46">
        <w:r>
          <w:rPr>
            <w:rStyle w:val="Hyperlink"/>
            <w:bCs/>
            <w:b/>
            <w:lang w:val="en"/>
          </w:rPr>
          <w:t xml:space="preserve">TG-1.9</w:t>
        </w:r>
      </w:hyperlink>
      <w:r>
        <w:rPr>
          <w:lang w:val="en"/>
        </w:rPr>
        <w:t xml:space="preserve">).</w:t>
      </w:r>
    </w:p>
    <w:p>
      <w:pPr>
        <w:pStyle w:val="BodyText"/>
      </w:pPr>
      <w:r>
        <w:rPr>
          <w:lang w:val="en"/>
        </w:rPr>
        <w:t xml:space="preserve">¶7</w:t>
      </w:r>
      <w:r>
        <w:rPr>
          <w:lang w:val="en"/>
        </w:rPr>
        <w:t xml:space="preserve"> </w:t>
      </w:r>
      <w:r>
        <w:rPr>
          <w:lang w:val="en"/>
        </w:rPr>
        <w:t xml:space="preserve">Seagrass is</w:t>
      </w:r>
      <w:r>
        <w:rPr>
          <w:lang w:val="en"/>
        </w:rPr>
        <w:t xml:space="preserve"> </w:t>
      </w:r>
      <w:hyperlink r:id="rId36">
        <w:r>
          <w:rPr>
            <w:rStyle w:val="Hyperlink"/>
            <w:bCs/>
            <w:b/>
            <w:lang w:val="en"/>
          </w:rPr>
          <w:t xml:space="preserve">TG-6.3</w:t>
        </w:r>
      </w:hyperlink>
      <w:r>
        <w:rPr>
          <w:lang w:val="en"/>
        </w:rPr>
        <w:t xml:space="preserve">, not this Circular, despite the shared blue carbon method. Catchment-borne nutrient and sediment inputs to these systems are</w:t>
      </w:r>
      <w:r>
        <w:rPr>
          <w:lang w:val="en"/>
        </w:rPr>
        <w:t xml:space="preserve"> </w:t>
      </w:r>
      <w:hyperlink r:id="rId42">
        <w:r>
          <w:rPr>
            <w:rStyle w:val="Hyperlink"/>
            <w:bCs/>
            <w:b/>
            <w:lang w:val="en"/>
          </w:rPr>
          <w:t xml:space="preserve">TG-6.13</w:t>
        </w:r>
      </w:hyperlink>
      <w:r>
        <w:rPr>
          <w:lang w:val="en"/>
        </w:rPr>
        <w:t xml:space="preserve">. The fisheries production that nursery habitat supports is recorded once, as an intermediate service here and as landed catch in</w:t>
      </w:r>
      <w:r>
        <w:rPr>
          <w:lang w:val="en"/>
        </w:rPr>
        <w:t xml:space="preserve"> </w:t>
      </w:r>
      <w:hyperlink r:id="rId47">
        <w:r>
          <w:rPr>
            <w:rStyle w:val="Hyperlink"/>
            <w:bCs/>
            <w:b/>
            <w:lang w:val="en"/>
          </w:rPr>
          <w:t xml:space="preserve">TG-6.7</w:t>
        </w:r>
      </w:hyperlink>
      <w:r>
        <w:rPr>
          <w:lang w:val="en"/>
        </w:rPr>
        <w:t xml:space="preserve">.</w:t>
      </w:r>
    </w:p>
    <w:bookmarkStart w:id="5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50"/>
    <w:p>
      <w:pPr>
        <w:numPr>
          <w:ilvl w:val="0"/>
          <w:numId w:val="1003"/>
        </w:numPr>
        <w:pStyle w:val="Compact"/>
      </w:pPr>
      <w:r>
        <w:rPr>
          <w:lang w:val="en"/>
        </w:rPr>
        <w:t xml:space="preserve">¶1</w:t>
      </w:r>
      <w:r>
        <w:rPr>
          <w:lang w:val="en"/>
        </w:rPr>
        <w:t xml:space="preserve"> </w:t>
      </w:r>
      <w:hyperlink r:id="rId51">
        <w:r>
          <w:rPr>
            <w:rStyle w:val="Hyperlink"/>
            <w:bCs/>
            <w:b/>
            <w:lang w:val="en"/>
          </w:rPr>
          <w:t xml:space="preserve">TG-0.1 General Introduction to Ocean Accounts</w:t>
        </w:r>
      </w:hyperlink>
    </w:p>
    <w:p>
      <w:pPr>
        <w:numPr>
          <w:ilvl w:val="0"/>
          <w:numId w:val="1003"/>
        </w:numPr>
        <w:pStyle w:val="Compact"/>
      </w:pPr>
      <w:r>
        <w:rPr>
          <w:lang w:val="en"/>
        </w:rPr>
        <w:t xml:space="preserve">¶2</w:t>
      </w:r>
      <w:r>
        <w:rPr>
          <w:lang w:val="en"/>
        </w:rPr>
        <w:t xml:space="preserve"> </w:t>
      </w:r>
      <w:hyperlink r:id="rId38">
        <w:r>
          <w:rPr>
            <w:rStyle w:val="Hyperlink"/>
            <w:bCs/>
            <w:b/>
            <w:lang w:val="en"/>
          </w:rPr>
          <w:t xml:space="preserve">TG-3.1 Asset Accounts</w:t>
        </w:r>
      </w:hyperlink>
      <w:r>
        <w:rPr>
          <w:lang w:val="en"/>
        </w:rPr>
        <w:t xml:space="preserve"> </w:t>
      </w:r>
      <w:r>
        <w:rPr>
          <w:lang w:val="en"/>
        </w:rPr>
        <w:t xml:space="preserve">— in particular Section 3.4 on ecosystem asset accounts.</w:t>
      </w:r>
    </w:p>
    <w:p>
      <w:pPr>
        <w:numPr>
          <w:ilvl w:val="0"/>
          <w:numId w:val="1003"/>
        </w:numPr>
        <w:pStyle w:val="Compact"/>
      </w:pPr>
      <w:r>
        <w:rPr>
          <w:lang w:val="en"/>
        </w:rPr>
        <w:t xml:space="preserve">¶3</w:t>
      </w:r>
      <w:r>
        <w:rPr>
          <w:lang w:val="en"/>
        </w:rPr>
        <w:t xml:space="preserve"> </w:t>
      </w:r>
      <w:hyperlink r:id="rId46">
        <w:r>
          <w:rPr>
            <w:rStyle w:val="Hyperlink"/>
            <w:bCs/>
            <w:b/>
            <w:lang w:val="en"/>
          </w:rPr>
          <w:t xml:space="preserve">TG-1.9 Valuation</w:t>
        </w:r>
      </w:hyperlink>
      <w:r>
        <w:rPr>
          <w:lang w:val="en"/>
        </w:rPr>
        <w:t xml:space="preserve"> </w:t>
      </w:r>
      <w:r>
        <w:rPr>
          <w:lang w:val="en"/>
        </w:rPr>
        <w:t xml:space="preserve">— foundational valuation concepts are not repeated here.</w:t>
      </w:r>
    </w:p>
    <w:p>
      <w:pPr>
        <w:numPr>
          <w:ilvl w:val="0"/>
          <w:numId w:val="1003"/>
        </w:numPr>
        <w:pStyle w:val="Compact"/>
      </w:pPr>
      <w:r>
        <w:rPr>
          <w:lang w:val="en"/>
        </w:rPr>
        <w:t xml:space="preserve">¶4</w:t>
      </w:r>
      <w:r>
        <w:rPr>
          <w:lang w:val="en"/>
        </w:rPr>
        <w:t xml:space="preserve"> </w:t>
      </w:r>
      <w:hyperlink r:id="rId39">
        <w:r>
          <w:rPr>
            <w:rStyle w:val="Hyperlink"/>
            <w:bCs/>
            <w:b/>
            <w:lang w:val="en"/>
          </w:rPr>
          <w:t xml:space="preserve">TG-4.1 Ecosystem Extent</w:t>
        </w:r>
      </w:hyperlink>
      <w:r>
        <w:rPr>
          <w:lang w:val="en"/>
        </w:rPr>
        <w:t xml:space="preserve"> </w:t>
      </w:r>
      <w:r>
        <w:rPr>
          <w:lang w:val="en"/>
        </w:rPr>
        <w:t xml:space="preserve">— general extent accounting, spatial data requirements, and change detection.</w:t>
      </w:r>
    </w:p>
    <w:p>
      <w:pPr>
        <w:pStyle w:val="FirstParagraph"/>
      </w:pPr>
      <w:r>
        <w:rPr>
          <w:lang w:val="en"/>
        </w:rPr>
        <w:t xml:space="preserve">¶5</w:t>
      </w:r>
      <w:r>
        <w:rPr>
          <w:lang w:val="en"/>
        </w:rPr>
        <w:t xml:space="preserve"> </w:t>
      </w:r>
      <w:r>
        <w:rPr>
          <w:bCs/>
          <w:b/>
          <w:lang w:val="en"/>
        </w:rPr>
        <w:t xml:space="preserve">Readiness and sequencing.</w:t>
      </w:r>
      <w:r>
        <w:rPr>
          <w:lang w:val="en"/>
        </w:rPr>
        <w:t xml:space="preserve"> </w:t>
      </w:r>
      <w:r>
        <w:rPr>
          <w:lang w:val="en"/>
        </w:rPr>
        <w:t xml:space="preserve">Whether a country is positioned to compile this account at all — mandate, data architecture, capacity and the order in which to build — is assessed under</w:t>
      </w:r>
      <w:r>
        <w:rPr>
          <w:lang w:val="en"/>
        </w:rPr>
        <w:t xml:space="preserve"> </w:t>
      </w:r>
      <w:hyperlink r:id="rId52">
        <w:r>
          <w:rPr>
            <w:rStyle w:val="Hyperlink"/>
            <w:bCs/>
            <w:b/>
            <w:lang w:val="en"/>
          </w:rPr>
          <w:t xml:space="preserve">TG-0.8 Implementation Readiness Assessment</w:t>
        </w:r>
      </w:hyperlink>
      <w:r>
        <w:rPr>
          <w:lang w:val="en"/>
        </w:rPr>
        <w:t xml:space="preserve">, and is not restated here.</w:t>
      </w:r>
    </w:p>
    <w:bookmarkStart w:id="55"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5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5"/>
    <w:p>
      <w:pPr>
        <w:pStyle w:val="BodyText"/>
      </w:pPr>
      <w:r>
        <w:rPr>
          <w:lang w:val="en"/>
        </w:rPr>
        <w:t xml:space="preserve">¶1</w:t>
      </w:r>
      <w:r>
        <w:rPr>
          <w:lang w:val="en"/>
        </w:rPr>
        <w:t xml:space="preserve"> </w:t>
      </w:r>
      <w:r>
        <w:rPr>
          <w:lang w:val="en"/>
        </w:rPr>
        <w:t xml:space="preserve">Mangroves and coastal wetlands occupy the transitional zone between terrestrial and marine environments, classified within the MFT1 Brackish Tidal Systems biome of the IUCN Global Ecosystem Typology (GET)</w:t>
      </w:r>
      <w:hyperlink w:anchor="user-content-fn-2">
        <w:r>
          <w:rPr>
            <w:rStyle w:val="Hyperlink"/>
            <w:vertAlign w:val="superscript"/>
            <w:lang w:val="en"/>
          </w:rPr>
          <w:t xml:space="preserve">1</w:t>
        </w:r>
      </w:hyperlink>
      <w:r>
        <w:rPr>
          <w:lang w:val="en"/>
        </w:rPr>
        <w:t xml:space="preserve">. For the GET realm/biome/EFG hierarchy and the national crosswalk obligation, see</w:t>
      </w:r>
      <w:r>
        <w:rPr>
          <w:lang w:val="en"/>
        </w:rPr>
        <w:t xml:space="preserve"> </w:t>
      </w:r>
      <w:hyperlink r:id="rId39">
        <w:r>
          <w:rPr>
            <w:rStyle w:val="Hyperlink"/>
            <w:bCs/>
            <w:b/>
            <w:lang w:val="en"/>
          </w:rPr>
          <w:t xml:space="preserve">TG-4.1</w:t>
        </w:r>
      </w:hyperlink>
      <w:r>
        <w:rPr>
          <w:lang w:val="en"/>
        </w:rPr>
        <w:t xml:space="preserve"> </w:t>
      </w:r>
      <w:r>
        <w:rPr>
          <w:lang w:val="en"/>
        </w:rPr>
        <w:t xml:space="preserve">Section 3.2.4.</w:t>
      </w:r>
      <w:hyperlink w:anchor="user-content-fn-3">
        <w:r>
          <w:rPr>
            <w:rStyle w:val="Hyperlink"/>
            <w:vertAlign w:val="superscript"/>
            <w:lang w:val="en"/>
          </w:rPr>
          <w:t xml:space="preserve">2</w:t>
        </w:r>
      </w:hyperlink>
      <w:r>
        <w:rPr>
          <w:lang w:val="en"/>
        </w:rPr>
        <w:t xml:space="preserve"> </w:t>
      </w:r>
      <w:r>
        <w:rPr>
          <w:lang w:val="en"/>
        </w:rPr>
        <w:t xml:space="preserve">Key ecosystem functional groups are summarised in Table 3.0.1 below</w:t>
      </w:r>
      <w:hyperlink w:anchor="user-content-fn-4">
        <w:r>
          <w:rPr>
            <w:rStyle w:val="Hyperlink"/>
            <w:vertAlign w:val="superscript"/>
            <w:lang w:val="en"/>
          </w:rPr>
          <w:t xml:space="preserve">3</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Functional group</w:t>
            </w:r>
          </w:p>
        </w:tc>
        <w:tc>
          <w:tcPr/>
          <w:p>
            <w:pPr>
              <w:pStyle w:val="Compact"/>
              <w:jc w:val="left"/>
            </w:pPr>
            <w:r>
              <w:rPr>
                <w:lang w:val="en"/>
              </w:rPr>
              <w:t xml:space="preserve">Description</w:t>
            </w:r>
          </w:p>
        </w:tc>
      </w:tr>
      <w:tr>
        <w:tc>
          <w:tcPr/>
          <w:p>
            <w:pPr>
              <w:pStyle w:val="Compact"/>
              <w:jc w:val="left"/>
            </w:pPr>
            <w:r>
              <w:rPr>
                <w:bCs/>
                <w:b/>
                <w:lang w:val="en"/>
              </w:rPr>
              <w:t xml:space="preserve">MFT1.2 Intertidal forests and shrublands</w:t>
            </w:r>
            <w:r>
              <w:rPr>
                <w:lang w:val="en"/>
              </w:rPr>
              <w:t xml:space="preserve"> </w:t>
            </w:r>
            <w:r>
              <w:rPr>
                <w:lang w:val="en"/>
              </w:rPr>
              <w:t xml:space="preserve">(mangroves)</w:t>
            </w:r>
          </w:p>
        </w:tc>
        <w:tc>
          <w:tcPr/>
          <w:p>
            <w:pPr>
              <w:pStyle w:val="Compact"/>
              <w:jc w:val="left"/>
            </w:pPr>
            <w:r>
              <w:rPr>
                <w:lang w:val="en"/>
              </w:rPr>
              <w:t xml:space="preserve">Characterised by salt-tolerant trees and shrubs with specialised adaptations including pneumatophores, salt excretion glands, and vivipary.</w:t>
            </w:r>
          </w:p>
        </w:tc>
      </w:tr>
      <w:tr>
        <w:tc>
          <w:tcPr/>
          <w:p>
            <w:pPr>
              <w:pStyle w:val="Compact"/>
              <w:jc w:val="left"/>
            </w:pPr>
            <w:r>
              <w:rPr>
                <w:bCs/>
                <w:b/>
                <w:lang w:val="en"/>
              </w:rPr>
              <w:t xml:space="preserve">MFT1.3 Coastal saltmarshes and reedbeds</w:t>
            </w:r>
          </w:p>
        </w:tc>
        <w:tc>
          <w:tcPr/>
          <w:p>
            <w:pPr>
              <w:pStyle w:val="Compact"/>
              <w:jc w:val="left"/>
            </w:pPr>
            <w:r>
              <w:rPr>
                <w:lang w:val="en"/>
              </w:rPr>
              <w:t xml:space="preserve">Dominated by salt-tolerant herbaceous plants and grasses in the upper intertidal zone.</w:t>
            </w:r>
          </w:p>
        </w:tc>
      </w:tr>
      <w:tr>
        <w:tc>
          <w:tcPr/>
          <w:p>
            <w:pPr>
              <w:pStyle w:val="Compact"/>
              <w:jc w:val="left"/>
            </w:pPr>
            <w:r>
              <w:rPr>
                <w:bCs/>
                <w:b/>
                <w:lang w:val="en"/>
              </w:rPr>
              <w:t xml:space="preserve">MFT1.1 Coastal river deltas</w:t>
            </w:r>
          </w:p>
        </w:tc>
        <w:tc>
          <w:tcPr/>
          <w:p>
            <w:pPr>
              <w:pStyle w:val="Compact"/>
              <w:jc w:val="left"/>
            </w:pPr>
            <w:r>
              <w:rPr>
                <w:lang w:val="en"/>
              </w:rPr>
              <w:t xml:space="preserve">Complex mosaics incorporating mangroves, saltmarshes, and other transitional ecosystem types.</w:t>
            </w:r>
          </w:p>
        </w:tc>
      </w:tr>
    </w:tbl>
    <w:p>
      <w:pPr>
        <w:pStyle w:val="BodyText"/>
      </w:pPr>
      <w:r>
        <w:rPr>
          <w:lang w:val="en"/>
        </w:rPr>
        <w:t xml:space="preserve">¶2</w:t>
      </w:r>
      <w:r>
        <w:rPr>
          <w:lang w:val="en"/>
        </w:rPr>
        <w:t xml:space="preserve"> </w:t>
      </w:r>
      <w:r>
        <w:rPr>
          <w:lang w:val="en"/>
        </w:rPr>
        <w:t xml:space="preserve">Sections 3.1—3.6 cover ecosystem extent, condition, blue carbon services, coastal protection, nursery habitat services, and valuation</w:t>
      </w:r>
      <w:hyperlink w:anchor="user-content-fn-1">
        <w:r>
          <w:rPr>
            <w:rStyle w:val="Hyperlink"/>
            <w:vertAlign w:val="superscript"/>
            <w:lang w:val="en"/>
          </w:rPr>
          <w:t xml:space="preserve">4</w:t>
        </w:r>
      </w:hyperlink>
      <w:r>
        <w:rPr>
          <w:lang w:val="en"/>
        </w:rPr>
        <w:t xml:space="preserve">. Compilers should also consult</w:t>
      </w:r>
      <w:r>
        <w:rPr>
          <w:lang w:val="en"/>
        </w:rPr>
        <w:t xml:space="preserve"> </w:t>
      </w:r>
      <w:hyperlink r:id="rId56">
        <w:r>
          <w:rPr>
            <w:rStyle w:val="Hyperlink"/>
            <w:bCs/>
            <w:b/>
            <w:lang w:val="en"/>
          </w:rPr>
          <w:t xml:space="preserve">TG-3.8 Combined Presentations</w:t>
        </w:r>
      </w:hyperlink>
      <w:r>
        <w:rPr>
          <w:lang w:val="en"/>
        </w:rPr>
        <w:t xml:space="preserve"> </w:t>
      </w:r>
      <w:r>
        <w:rPr>
          <w:lang w:val="en"/>
        </w:rPr>
        <w:t xml:space="preserve">for the bridge to the SEEA-CF Thematic Carbon Stock Account referenced in Section 3.3. Section 3.7 presents a step-by-step compilation procedure and Section 3.8 provides a worked example.</w:t>
      </w:r>
    </w:p>
    <w:bookmarkStart w:id="59" w:name="Xfcb737a3d10323b559bb6c6fc32ce4397d23d78"/>
    <w:p>
      <w:pPr>
        <w:pStyle w:val="Heading3"/>
      </w:pPr>
      <w:r>
        <w:rPr>
          <w:lang w:val="en"/>
        </w:rPr>
        <w:t xml:space="preserve">3.1</w:t>
      </w:r>
      <w:r>
        <w:rPr>
          <w:lang w:val="en"/>
        </w:rPr>
        <w:t xml:space="preserve"> </w:t>
      </w:r>
      <w:r>
        <w:rPr>
          <w:lang w:val="en"/>
        </w:rPr>
        <w:t xml:space="preserve">Extent Accounting</w:t>
      </w:r>
    </w:p>
    <w:p>
      <w:pPr>
        <w:pStyle w:val="FirstParagraph"/>
      </w:pPr>
      <w:hyperlink w:anchor="Xfcb737a3d10323b559bb6c6fc32ce4397d23d78">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Extent Accounting”</w:t>
        </w:r>
      </w:hyperlink>
    </w:p>
    <w:bookmarkEnd w:id="59"/>
    <w:p>
      <w:pPr>
        <w:pStyle w:val="BodyText"/>
      </w:pPr>
      <w:r>
        <w:rPr>
          <w:lang w:val="en"/>
        </w:rPr>
        <w:t xml:space="preserve">¶1</w:t>
      </w:r>
      <w:r>
        <w:rPr>
          <w:lang w:val="en"/>
        </w:rPr>
        <w:t xml:space="preserve"> </w:t>
      </w:r>
      <w:r>
        <w:rPr>
          <w:lang w:val="en"/>
        </w:rPr>
        <w:t xml:space="preserve">Ecosystem extent accounts record mangrove and coastal wetland area within an ecosystem accounting area (EAA), typically in hectares</w:t>
      </w:r>
      <w:hyperlink w:anchor="user-content-fn-5">
        <w:r>
          <w:rPr>
            <w:rStyle w:val="Hyperlink"/>
            <w:vertAlign w:val="superscript"/>
            <w:lang w:val="en"/>
          </w:rPr>
          <w:t xml:space="preserve">5</w:t>
        </w:r>
      </w:hyperlink>
      <w:r>
        <w:rPr>
          <w:lang w:val="en"/>
        </w:rPr>
        <w:t xml:space="preserve">. Extent accounts provide the spatial foundation for all subsequent condition and service accounts. For satellite sensor selection, cloud-cover management, tidal timing, and general accuracy assessment, see</w:t>
      </w:r>
      <w:r>
        <w:rPr>
          <w:lang w:val="en"/>
        </w:rPr>
        <w:t xml:space="preserve"> </w:t>
      </w:r>
      <w:hyperlink r:id="rId39">
        <w:r>
          <w:rPr>
            <w:rStyle w:val="Hyperlink"/>
            <w:bCs/>
            <w:b/>
            <w:lang w:val="en"/>
          </w:rPr>
          <w:t xml:space="preserve">TG-4.1 Ecosystem Extent</w:t>
        </w:r>
      </w:hyperlink>
      <w:r>
        <w:rPr>
          <w:lang w:val="en"/>
        </w:rPr>
        <w:t xml:space="preserve">. Mangrove-specific considerations are noted below.</w:t>
      </w:r>
    </w:p>
    <w:bookmarkStart w:id="62" w:name="ecosystem-type-classification"/>
    <w:p>
      <w:pPr>
        <w:pStyle w:val="Heading4"/>
      </w:pPr>
      <w:r>
        <w:rPr>
          <w:lang w:val="en"/>
        </w:rPr>
        <w:t xml:space="preserve">Ecosystem type classification</w:t>
      </w:r>
    </w:p>
    <w:p>
      <w:pPr>
        <w:pStyle w:val="FirstParagraph"/>
      </w:pPr>
      <w:hyperlink w:anchor="ecosystem-type-classification">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type classification”</w:t>
        </w:r>
      </w:hyperlink>
    </w:p>
    <w:bookmarkEnd w:id="62"/>
    <w:p>
      <w:pPr>
        <w:pStyle w:val="BodyText"/>
      </w:pPr>
      <w:r>
        <w:rPr>
          <w:lang w:val="en"/>
        </w:rPr>
        <w:t xml:space="preserve">¶1</w:t>
      </w:r>
      <w:r>
        <w:rPr>
          <w:lang w:val="en"/>
        </w:rPr>
        <w:t xml:space="preserve"> </w:t>
      </w:r>
      <w:r>
        <w:rPr>
          <w:lang w:val="en"/>
        </w:rPr>
        <w:t xml:space="preserve">Mangroves and coastal wetlands should be classified at the ecosystem functional group (EFG) level or finer national classifications</w:t>
      </w:r>
      <w:hyperlink w:anchor="user-content-fn-6">
        <w:r>
          <w:rPr>
            <w:rStyle w:val="Hyperlink"/>
            <w:vertAlign w:val="superscript"/>
            <w:lang w:val="en"/>
          </w:rPr>
          <w:t xml:space="preserve">6</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IUCN GET Code</w:t>
            </w:r>
          </w:p>
        </w:tc>
        <w:tc>
          <w:tcPr/>
          <w:p>
            <w:pPr>
              <w:pStyle w:val="Compact"/>
              <w:jc w:val="left"/>
            </w:pPr>
            <w:r>
              <w:rPr>
                <w:lang w:val="en"/>
              </w:rPr>
              <w:t xml:space="preserve">Ecosystem Functional Group</w:t>
            </w:r>
          </w:p>
        </w:tc>
        <w:tc>
          <w:tcPr/>
          <w:p>
            <w:pPr>
              <w:pStyle w:val="Compact"/>
              <w:jc w:val="left"/>
            </w:pPr>
            <w:r>
              <w:rPr>
                <w:lang w:val="en"/>
              </w:rPr>
              <w:t xml:space="preserve">Description</w:t>
            </w:r>
          </w:p>
        </w:tc>
      </w:tr>
      <w:tr>
        <w:tc>
          <w:tcPr/>
          <w:p>
            <w:pPr>
              <w:pStyle w:val="Compact"/>
              <w:jc w:val="left"/>
            </w:pPr>
            <w:r>
              <w:rPr>
                <w:lang w:val="en"/>
              </w:rPr>
              <w:t xml:space="preserve">MFT1.2</w:t>
            </w:r>
          </w:p>
        </w:tc>
        <w:tc>
          <w:tcPr/>
          <w:p>
            <w:pPr>
              <w:pStyle w:val="Compact"/>
              <w:jc w:val="left"/>
            </w:pPr>
            <w:r>
              <w:rPr>
                <w:lang w:val="en"/>
              </w:rPr>
              <w:t xml:space="preserve">Intertidal forests and shrublands</w:t>
            </w:r>
          </w:p>
        </w:tc>
        <w:tc>
          <w:tcPr/>
          <w:p>
            <w:pPr>
              <w:pStyle w:val="Compact"/>
              <w:jc w:val="left"/>
            </w:pPr>
            <w:r>
              <w:rPr>
                <w:lang w:val="en"/>
              </w:rPr>
              <w:t xml:space="preserve">Mangrove forests and related tidal woody vegetation</w:t>
            </w:r>
          </w:p>
        </w:tc>
      </w:tr>
      <w:tr>
        <w:tc>
          <w:tcPr/>
          <w:p>
            <w:pPr>
              <w:pStyle w:val="Compact"/>
              <w:jc w:val="left"/>
            </w:pPr>
            <w:r>
              <w:rPr>
                <w:lang w:val="en"/>
              </w:rPr>
              <w:t xml:space="preserve">MFT1.3</w:t>
            </w:r>
          </w:p>
        </w:tc>
        <w:tc>
          <w:tcPr/>
          <w:p>
            <w:pPr>
              <w:pStyle w:val="Compact"/>
              <w:jc w:val="left"/>
            </w:pPr>
            <w:r>
              <w:rPr>
                <w:lang w:val="en"/>
              </w:rPr>
              <w:t xml:space="preserve">Coastal saltmarshes and reedbeds</w:t>
            </w:r>
          </w:p>
        </w:tc>
        <w:tc>
          <w:tcPr/>
          <w:p>
            <w:pPr>
              <w:pStyle w:val="Compact"/>
              <w:jc w:val="left"/>
            </w:pPr>
            <w:r>
              <w:rPr>
                <w:lang w:val="en"/>
              </w:rPr>
              <w:t xml:space="preserve">Herbaceous tidal wetlands including salt marshes</w:t>
            </w:r>
          </w:p>
        </w:tc>
      </w:tr>
      <w:tr>
        <w:tc>
          <w:tcPr/>
          <w:p>
            <w:pPr>
              <w:pStyle w:val="Compact"/>
              <w:jc w:val="left"/>
            </w:pPr>
            <w:r>
              <w:rPr>
                <w:lang w:val="en"/>
              </w:rPr>
              <w:t xml:space="preserve">MFT1.1</w:t>
            </w:r>
          </w:p>
        </w:tc>
        <w:tc>
          <w:tcPr/>
          <w:p>
            <w:pPr>
              <w:pStyle w:val="Compact"/>
              <w:jc w:val="left"/>
            </w:pPr>
            <w:r>
              <w:rPr>
                <w:lang w:val="en"/>
              </w:rPr>
              <w:t xml:space="preserve">Coastal river deltas</w:t>
            </w:r>
          </w:p>
        </w:tc>
        <w:tc>
          <w:tcPr/>
          <w:p>
            <w:pPr>
              <w:pStyle w:val="Compact"/>
              <w:jc w:val="left"/>
            </w:pPr>
            <w:r>
              <w:rPr>
                <w:lang w:val="en"/>
              </w:rPr>
              <w:t xml:space="preserve">Complex deltaic mosaics with multiple ecosystem types</w:t>
            </w:r>
          </w:p>
        </w:tc>
      </w:tr>
    </w:tbl>
    <w:p>
      <w:pPr>
        <w:pStyle w:val="BodyText"/>
      </w:pPr>
      <w:r>
        <w:rPr>
          <w:lang w:val="en"/>
        </w:rPr>
        <w:t xml:space="preserve">¶2</w:t>
      </w:r>
      <w:r>
        <w:rPr>
          <w:lang w:val="en"/>
        </w:rPr>
        <w:t xml:space="preserve"> </w:t>
      </w:r>
      <w:r>
        <w:rPr>
          <w:lang w:val="en"/>
        </w:rPr>
        <w:t xml:space="preserve">National classifications may disaggregate further by dominant species (e.g., Rhizophora-dominated vs. Avicennia-dominated) or structural characteristics</w:t>
      </w:r>
      <w:hyperlink w:anchor="user-content-fn-8">
        <w:r>
          <w:rPr>
            <w:rStyle w:val="Hyperlink"/>
            <w:vertAlign w:val="superscript"/>
            <w:lang w:val="en"/>
          </w:rPr>
          <w:t xml:space="preserve">7</w:t>
        </w:r>
      </w:hyperlink>
      <w:r>
        <w:rPr>
          <w:lang w:val="en"/>
        </w:rPr>
        <w:t xml:space="preserve">. Temperate compilers should identify the most appropriate GET functional groups for their national context and document classification decisions transparently.</w:t>
      </w:r>
    </w:p>
    <w:bookmarkStart w:id="65" w:name="remote-sensing-and-accuracy-assessment"/>
    <w:p>
      <w:pPr>
        <w:pStyle w:val="Heading4"/>
      </w:pPr>
      <w:r>
        <w:rPr>
          <w:lang w:val="en"/>
        </w:rPr>
        <w:t xml:space="preserve">Remote sensing and accuracy assessment</w:t>
      </w:r>
    </w:p>
    <w:p>
      <w:pPr>
        <w:pStyle w:val="FirstParagraph"/>
      </w:pPr>
      <w:hyperlink w:anchor="remote-sensing-and-accuracy-assessment">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“Remote sensing and accuracy assessment”</w:t>
        </w:r>
      </w:hyperlink>
    </w:p>
    <w:bookmarkEnd w:id="65"/>
    <w:p>
      <w:pPr>
        <w:pStyle w:val="BodyText"/>
      </w:pPr>
      <w:r>
        <w:rPr>
          <w:lang w:val="en"/>
        </w:rPr>
        <w:t xml:space="preserve">¶1</w:t>
      </w:r>
      <w:r>
        <w:rPr>
          <w:lang w:val="en"/>
        </w:rPr>
        <w:t xml:space="preserve"> </w:t>
      </w:r>
      <w:r>
        <w:rPr>
          <w:lang w:val="en"/>
        </w:rPr>
        <w:t xml:space="preserve">Remote sensing provides the primary data source for extent mapping</w:t>
      </w:r>
      <w:hyperlink w:anchor="user-content-fn-9">
        <w:r>
          <w:rPr>
            <w:rStyle w:val="Hyperlink"/>
            <w:vertAlign w:val="superscript"/>
            <w:lang w:val="en"/>
          </w:rPr>
          <w:t xml:space="preserve">8</w:t>
        </w:r>
      </w:hyperlink>
      <w:r>
        <w:rPr>
          <w:lang w:val="en"/>
        </w:rPr>
        <w:t xml:space="preserve">,</w:t>
      </w:r>
      <w:r>
        <w:rPr>
          <w:lang w:val="en"/>
        </w:rPr>
        <w:t xml:space="preserve"> </w:t>
      </w:r>
      <w:hyperlink w:anchor="user-content-fn-10">
        <w:r>
          <w:rPr>
            <w:rStyle w:val="Hyperlink"/>
            <w:vertAlign w:val="superscript"/>
            <w:lang w:val="en"/>
          </w:rPr>
          <w:t xml:space="preserve">9</w:t>
        </w:r>
      </w:hyperlink>
      <w:r>
        <w:rPr>
          <w:lang w:val="en"/>
        </w:rPr>
        <w:t xml:space="preserve">. Mangrove-specific considerations supplementing</w:t>
      </w:r>
      <w:r>
        <w:rPr>
          <w:lang w:val="en"/>
        </w:rPr>
        <w:t xml:space="preserve"> </w:t>
      </w:r>
      <w:hyperlink r:id="rId39">
        <w:r>
          <w:rPr>
            <w:rStyle w:val="Hyperlink"/>
            <w:bCs/>
            <w:b/>
            <w:lang w:val="en"/>
          </w:rPr>
          <w:t xml:space="preserve">TG-4.1 §3.3</w:t>
        </w:r>
      </w:hyperlink>
      <w:r>
        <w:rPr>
          <w:lang w:val="en"/>
        </w:rPr>
        <w:t xml:space="preserve"> </w:t>
      </w:r>
      <w:r>
        <w:rPr>
          <w:lang w:val="en"/>
        </w:rPr>
        <w:t xml:space="preserve">are:</w:t>
      </w:r>
    </w:p>
    <w:p>
      <w:pPr>
        <w:numPr>
          <w:ilvl w:val="0"/>
          <w:numId w:val="1004"/>
        </w:numPr>
        <w:pStyle w:val="Compact"/>
      </w:pPr>
      <w:r>
        <w:rPr>
          <w:lang w:val="en"/>
        </w:rPr>
        <w:t xml:space="preserve">¶2</w:t>
      </w:r>
      <w:r>
        <w:rPr>
          <w:lang w:val="en"/>
        </w:rPr>
        <w:t xml:space="preserve"> </w:t>
      </w:r>
      <w:r>
        <w:rPr>
          <w:lang w:val="en"/>
        </w:rPr>
        <w:t xml:space="preserve">L-band SAR (Sentinel-1, ALOS-2 PALSAR-2) for canopy height retrieval under cloud cover</w:t>
      </w:r>
      <w:hyperlink w:anchor="user-content-fn-11">
        <w:r>
          <w:rPr>
            <w:rStyle w:val="Hyperlink"/>
            <w:vertAlign w:val="superscript"/>
            <w:lang w:val="en"/>
          </w:rPr>
          <w:t xml:space="preserve">10</w:t>
        </w:r>
      </w:hyperlink>
    </w:p>
    <w:p>
      <w:pPr>
        <w:numPr>
          <w:ilvl w:val="0"/>
          <w:numId w:val="1004"/>
        </w:numPr>
        <w:pStyle w:val="Compact"/>
      </w:pPr>
      <w:r>
        <w:rPr>
          <w:lang w:val="en"/>
        </w:rPr>
        <w:t xml:space="preserve">¶3</w:t>
      </w:r>
      <w:r>
        <w:rPr>
          <w:lang w:val="en"/>
        </w:rPr>
        <w:t xml:space="preserve"> </w:t>
      </w:r>
      <w:r>
        <w:rPr>
          <w:lang w:val="en"/>
        </w:rPr>
        <w:t xml:space="preserve">NDVI thresholds for mangrove vs saltmarsh discrimination</w:t>
      </w:r>
    </w:p>
    <w:p>
      <w:pPr>
        <w:numPr>
          <w:ilvl w:val="0"/>
          <w:numId w:val="1004"/>
        </w:numPr>
        <w:pStyle w:val="Compact"/>
      </w:pPr>
      <w:r>
        <w:rPr>
          <w:lang w:val="en"/>
        </w:rPr>
        <w:t xml:space="preserve">¶4</w:t>
      </w:r>
      <w:r>
        <w:rPr>
          <w:lang w:val="en"/>
        </w:rPr>
        <w:t xml:space="preserve"> </w:t>
      </w:r>
      <w:r>
        <w:rPr>
          <w:lang w:val="en"/>
        </w:rPr>
        <w:t xml:space="preserve">Imagery acquired within ±2 hours of low tide for intertidal fringe mapping</w:t>
      </w:r>
    </w:p>
    <w:p>
      <w:pPr>
        <w:pStyle w:val="FirstParagraph"/>
      </w:pPr>
      <w:r>
        <w:rPr>
          <w:lang w:val="en"/>
        </w:rPr>
        <w:t xml:space="preserve">¶5</w:t>
      </w:r>
      <w:r>
        <w:rPr>
          <w:lang w:val="en"/>
        </w:rPr>
        <w:t xml:space="preserve"> </w:t>
      </w:r>
      <w:r>
        <w:rPr>
          <w:bCs/>
          <w:b/>
          <w:lang w:val="en"/>
        </w:rPr>
        <w:t xml:space="preserve">Saltmarsh-specific:</w:t>
      </w:r>
      <w:r>
        <w:rPr>
          <w:lang w:val="en"/>
        </w:rPr>
        <w:t xml:space="preserve"> </w:t>
      </w:r>
      <w:r>
        <w:rPr>
          <w:lang w:val="en"/>
        </w:rPr>
        <w:t xml:space="preserve">Saltmarsh mapping requires high-resolution optical imagery (0.5—2 m) and LiDAR-derived elevation models to separate saltmarsh from adjacent upland vegetation. Multi-temporal classification exploiting phenological contrasts improves discrimination.</w:t>
      </w:r>
    </w:p>
    <w:p>
      <w:pPr>
        <w:pStyle w:val="BodyText"/>
      </w:pPr>
      <w:r>
        <w:rPr>
          <w:lang w:val="en"/>
        </w:rPr>
        <w:t xml:space="preserve">¶6</w:t>
      </w:r>
      <w:r>
        <w:rPr>
          <w:lang w:val="en"/>
        </w:rPr>
        <w:t xml:space="preserve"> </w:t>
      </w:r>
      <w:r>
        <w:rPr>
          <w:bCs/>
          <w:b/>
          <w:lang w:val="en"/>
        </w:rPr>
        <w:t xml:space="preserve">Global datasets:</w:t>
      </w:r>
      <w:r>
        <w:rPr>
          <w:lang w:val="en"/>
        </w:rPr>
        <w:t xml:space="preserve"> </w:t>
      </w:r>
      <w:r>
        <w:rPr>
          <w:lang w:val="en"/>
        </w:rPr>
        <w:t xml:space="preserve">Global Mangrove Watch provides annual mangrove extent maps from 1996 at 25-metre resolution</w:t>
      </w:r>
      <w:hyperlink w:anchor="user-content-fn-12">
        <w:r>
          <w:rPr>
            <w:rStyle w:val="Hyperlink"/>
            <w:vertAlign w:val="superscript"/>
            <w:lang w:val="en"/>
          </w:rPr>
          <w:t xml:space="preserve">11</w:t>
        </w:r>
      </w:hyperlink>
      <w:r>
        <w:rPr>
          <w:lang w:val="en"/>
        </w:rPr>
        <w:t xml:space="preserve">. The Global Tidal Wetland Change Dataset tracks saltmarsh, mangrove, and tidal flat changes globally</w:t>
      </w:r>
      <w:hyperlink w:anchor="user-content-fn-13">
        <w:r>
          <w:rPr>
            <w:rStyle w:val="Hyperlink"/>
            <w:vertAlign w:val="superscript"/>
            <w:lang w:val="en"/>
          </w:rPr>
          <w:t xml:space="preserve">12</w:t>
        </w:r>
      </w:hyperlink>
      <w:r>
        <w:rPr>
          <w:lang w:val="en"/>
        </w:rPr>
        <w:t xml:space="preserve">.</w:t>
      </w:r>
    </w:p>
    <w:p>
      <w:pPr>
        <w:pStyle w:val="BodyText"/>
      </w:pPr>
      <w:r>
        <w:rPr>
          <w:lang w:val="en"/>
        </w:rPr>
        <w:t xml:space="preserve">¶7</w:t>
      </w:r>
      <w:r>
        <w:rPr>
          <w:lang w:val="en"/>
        </w:rPr>
        <w:t xml:space="preserve"> </w:t>
      </w:r>
      <w:r>
        <w:rPr>
          <w:lang w:val="en"/>
        </w:rPr>
        <w:t xml:space="preserve">Accuracy documentation must include: accuracy assessment method (area-based probability sampling); reference data source and collection date; overall, producer, and user accuracy by class; confusion matrix; and imagery source, acquisition date, resolution, and cloud cover or tidal stage. For national GHG inventory reporting, minimum overall accuracy of 85% is a widely applied convention (IPCC Good Practice Guidance)</w:t>
      </w:r>
      <w:hyperlink w:anchor="user-content-fn-14">
        <w:r>
          <w:rPr>
            <w:rStyle w:val="Hyperlink"/>
            <w:vertAlign w:val="superscript"/>
            <w:lang w:val="en"/>
          </w:rPr>
          <w:t xml:space="preserve">13</w:t>
        </w:r>
      </w:hyperlink>
      <w:r>
        <w:rPr>
          <w:lang w:val="en"/>
        </w:rPr>
        <w:t xml:space="preserve">. For carbon credit accounting under voluntary standards (e.g., Verra VM0033), methodology-specific requirements apply.</w:t>
      </w:r>
    </w:p>
    <w:bookmarkStart w:id="68" w:name="change-detection"/>
    <w:p>
      <w:pPr>
        <w:pStyle w:val="Heading4"/>
      </w:pPr>
      <w:r>
        <w:rPr>
          <w:lang w:val="en"/>
        </w:rPr>
        <w:t xml:space="preserve">Change detection</w:t>
      </w:r>
    </w:p>
    <w:p>
      <w:pPr>
        <w:pStyle w:val="FirstParagraph"/>
      </w:pPr>
      <w:hyperlink w:anchor="change-detection">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“Change detection”</w:t>
        </w:r>
      </w:hyperlink>
    </w:p>
    <w:bookmarkEnd w:id="68"/>
    <w:p>
      <w:pPr>
        <w:pStyle w:val="BodyText"/>
      </w:pPr>
      <w:r>
        <w:rPr>
          <w:lang w:val="en"/>
        </w:rPr>
        <w:t xml:space="preserve">¶1</w:t>
      </w:r>
      <w:r>
        <w:rPr>
          <w:lang w:val="en"/>
        </w:rPr>
        <w:t xml:space="preserve"> </w:t>
      </w:r>
      <w:r>
        <w:rPr>
          <w:lang w:val="en"/>
        </w:rPr>
        <w:t xml:space="preserve">The extent account records changes between opening and closing periods using four categories</w:t>
      </w:r>
      <w:hyperlink w:anchor="user-content-fn-15">
        <w:r>
          <w:rPr>
            <w:rStyle w:val="Hyperlink"/>
            <w:vertAlign w:val="superscript"/>
            <w:lang w:val="en"/>
          </w:rPr>
          <w:t xml:space="preserve">14</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Change category</w:t>
            </w:r>
          </w:p>
        </w:tc>
        <w:tc>
          <w:tcPr/>
          <w:p>
            <w:pPr>
              <w:pStyle w:val="Compact"/>
              <w:jc w:val="left"/>
            </w:pPr>
            <w:r>
              <w:rPr>
                <w:lang w:val="en"/>
              </w:rPr>
              <w:t xml:space="preserve">Description</w:t>
            </w:r>
          </w:p>
        </w:tc>
      </w:tr>
      <w:tr>
        <w:tc>
          <w:tcPr/>
          <w:p>
            <w:pPr>
              <w:pStyle w:val="Compact"/>
              <w:jc w:val="left"/>
            </w:pPr>
            <w:r>
              <w:rPr>
                <w:bCs/>
                <w:b/>
                <w:lang w:val="en"/>
              </w:rPr>
              <w:t xml:space="preserve">Managed expansions</w:t>
            </w:r>
          </w:p>
        </w:tc>
        <w:tc>
          <w:tcPr/>
          <w:p>
            <w:pPr>
              <w:pStyle w:val="Compact"/>
              <w:jc w:val="left"/>
            </w:pPr>
            <w:r>
              <w:rPr>
                <w:lang w:val="en"/>
              </w:rPr>
              <w:t xml:space="preserve">Increases due to restoration, afforestation, or coastal management.</w:t>
            </w:r>
          </w:p>
        </w:tc>
      </w:tr>
      <w:tr>
        <w:tc>
          <w:tcPr/>
          <w:p>
            <w:pPr>
              <w:pStyle w:val="Compact"/>
              <w:jc w:val="left"/>
            </w:pPr>
            <w:r>
              <w:rPr>
                <w:bCs/>
                <w:b/>
                <w:lang w:val="en"/>
              </w:rPr>
              <w:t xml:space="preserve">Unmanaged expansions</w:t>
            </w:r>
          </w:p>
        </w:tc>
        <w:tc>
          <w:tcPr/>
          <w:p>
            <w:pPr>
              <w:pStyle w:val="Compact"/>
              <w:jc w:val="left"/>
            </w:pPr>
            <w:r>
              <w:rPr>
                <w:lang w:val="en"/>
              </w:rPr>
              <w:t xml:space="preserve">Natural colonisation and succession.</w:t>
            </w:r>
          </w:p>
        </w:tc>
      </w:tr>
      <w:tr>
        <w:tc>
          <w:tcPr/>
          <w:p>
            <w:pPr>
              <w:pStyle w:val="Compact"/>
              <w:jc w:val="left"/>
            </w:pPr>
            <w:r>
              <w:rPr>
                <w:bCs/>
                <w:b/>
                <w:lang w:val="en"/>
              </w:rPr>
              <w:t xml:space="preserve">Managed reductions</w:t>
            </w:r>
          </w:p>
        </w:tc>
        <w:tc>
          <w:tcPr/>
          <w:p>
            <w:pPr>
              <w:pStyle w:val="Compact"/>
              <w:jc w:val="left"/>
            </w:pPr>
            <w:r>
              <w:rPr>
                <w:lang w:val="en"/>
              </w:rPr>
              <w:t xml:space="preserve">Conversion for aquaculture, agriculture, or urban development.</w:t>
            </w:r>
          </w:p>
        </w:tc>
      </w:tr>
      <w:tr>
        <w:tc>
          <w:tcPr/>
          <w:p>
            <w:pPr>
              <w:pStyle w:val="Compact"/>
              <w:jc w:val="left"/>
            </w:pPr>
            <w:r>
              <w:rPr>
                <w:bCs/>
                <w:b/>
                <w:lang w:val="en"/>
              </w:rPr>
              <w:t xml:space="preserve">Unmanaged reductions</w:t>
            </w:r>
          </w:p>
        </w:tc>
        <w:tc>
          <w:tcPr/>
          <w:p>
            <w:pPr>
              <w:pStyle w:val="Compact"/>
              <w:jc w:val="left"/>
            </w:pPr>
            <w:r>
              <w:rPr>
                <w:lang w:val="en"/>
              </w:rPr>
              <w:t xml:space="preserve">Natural losses from erosion, sea-level rise, or catastrophic events.</w:t>
            </w:r>
          </w:p>
        </w:tc>
      </w:tr>
    </w:tbl>
    <w:p>
      <w:pPr>
        <w:pStyle w:val="BodyText"/>
      </w:pPr>
      <w:r>
        <w:rPr>
          <w:lang w:val="en"/>
        </w:rPr>
        <w:t xml:space="preserve">¶2</w:t>
      </w:r>
      <w:r>
        <w:rPr>
          <w:lang w:val="en"/>
        </w:rPr>
        <w:t xml:space="preserve"> </w:t>
      </w:r>
      <w:r>
        <w:rPr>
          <w:lang w:val="en"/>
        </w:rPr>
        <w:t xml:space="preserve">Temporary losses from storm damage followed by regeneration should be treated as condition changes rather than extent changes</w:t>
      </w:r>
      <w:hyperlink w:anchor="user-content-fn-16">
        <w:r>
          <w:rPr>
            <w:rStyle w:val="Hyperlink"/>
            <w:vertAlign w:val="superscript"/>
            <w:lang w:val="en"/>
          </w:rPr>
          <w:t xml:space="preserve">15</w:t>
        </w:r>
      </w:hyperlink>
      <w:r>
        <w:rPr>
          <w:lang w:val="en"/>
        </w:rPr>
        <w:t xml:space="preserve">.</w:t>
      </w:r>
    </w:p>
    <w:p>
      <w:pPr>
        <w:pStyle w:val="BodyText"/>
      </w:pPr>
      <w:r>
        <w:rPr>
          <w:lang w:val="en"/>
        </w:rPr>
        <w:t xml:space="preserve">¶3</w:t>
      </w:r>
      <w:r>
        <w:rPr>
          <w:lang w:val="en"/>
        </w:rPr>
        <w:t xml:space="preserve"> </w:t>
      </w:r>
      <w:r>
        <w:rPr>
          <w:bCs/>
          <w:b/>
          <w:lang w:val="en"/>
        </w:rPr>
        <w:t xml:space="preserve">Restored vs. naturally regenerated additions.</w:t>
      </w:r>
      <w:r>
        <w:rPr>
          <w:lang w:val="en"/>
        </w:rPr>
        <w:t xml:space="preserve"> </w:t>
      </w:r>
      <w:r>
        <w:rPr>
          <w:lang w:val="en"/>
        </w:rPr>
        <w:t xml:space="preserve">Managed expansions should be disaggregated into two sub-categories in account metadata:</w:t>
      </w:r>
    </w:p>
    <w:p>
      <w:pPr>
        <w:numPr>
          <w:ilvl w:val="0"/>
          <w:numId w:val="1005"/>
        </w:numPr>
        <w:pStyle w:val="Compact"/>
      </w:pPr>
      <w:r>
        <w:rPr>
          <w:lang w:val="en"/>
        </w:rPr>
        <w:t xml:space="preserve">¶4</w:t>
      </w:r>
      <w:r>
        <w:rPr>
          <w:lang w:val="en"/>
        </w:rPr>
        <w:t xml:space="preserve"> </w:t>
      </w:r>
      <w:r>
        <w:rPr>
          <w:iCs/>
          <w:i/>
          <w:lang w:val="en"/>
        </w:rPr>
        <w:t xml:space="preserve">Restored (planted)</w:t>
      </w:r>
      <w:r>
        <w:rPr>
          <w:lang w:val="en"/>
        </w:rPr>
        <w:t xml:space="preserve"> </w:t>
      </w:r>
      <w:r>
        <w:rPr>
          <w:lang w:val="en"/>
        </w:rPr>
        <w:t xml:space="preserve">— counted as gained extent only after a</w:t>
      </w:r>
      <w:r>
        <w:rPr>
          <w:lang w:val="en"/>
        </w:rPr>
        <w:t xml:space="preserve"> </w:t>
      </w:r>
      <w:r>
        <w:rPr>
          <w:bCs/>
          <w:b/>
          <w:lang w:val="en"/>
        </w:rPr>
        <w:t xml:space="preserve">survival check at year 3 post-planting</w:t>
      </w:r>
      <w:r>
        <w:rPr>
          <w:lang w:val="en"/>
        </w:rPr>
        <w:t xml:space="preserve"> </w:t>
      </w:r>
      <w:r>
        <w:rPr>
          <w:lang w:val="en"/>
        </w:rPr>
        <w:t xml:space="preserve">to filter typical 30—60% three-year mortality. The threshold for entry into the extent account is canopy closure or the specified national cover percentage, whichever is reached first.</w:t>
      </w:r>
    </w:p>
    <w:p>
      <w:pPr>
        <w:numPr>
          <w:ilvl w:val="0"/>
          <w:numId w:val="1005"/>
        </w:numPr>
        <w:pStyle w:val="Compact"/>
      </w:pPr>
      <w:r>
        <w:rPr>
          <w:lang w:val="en"/>
        </w:rPr>
        <w:t xml:space="preserve">¶5</w:t>
      </w:r>
      <w:r>
        <w:rPr>
          <w:lang w:val="en"/>
        </w:rPr>
        <w:t xml:space="preserve"> </w:t>
      </w:r>
      <w:r>
        <w:rPr>
          <w:iCs/>
          <w:i/>
          <w:lang w:val="en"/>
        </w:rPr>
        <w:t xml:space="preserve">Naturally regenerated</w:t>
      </w:r>
      <w:r>
        <w:rPr>
          <w:lang w:val="en"/>
        </w:rPr>
        <w:t xml:space="preserve"> </w:t>
      </w:r>
      <w:r>
        <w:rPr>
          <w:lang w:val="en"/>
        </w:rPr>
        <w:t xml:space="preserve">— areas colonised by unassisted propagule recruitment, typically reaching the SEEA EA extent threshold at year 10—15.</w:t>
      </w:r>
    </w:p>
    <w:p>
      <w:pPr>
        <w:pStyle w:val="FirstParagraph"/>
      </w:pPr>
      <w:r>
        <w:rPr>
          <w:lang w:val="en"/>
        </w:rPr>
        <w:t xml:space="preserve">¶6</w:t>
      </w:r>
      <w:r>
        <w:rPr>
          <w:lang w:val="en"/>
        </w:rPr>
        <w:t xml:space="preserve"> </w:t>
      </w:r>
      <w:r>
        <w:rPr>
          <w:lang w:val="en"/>
        </w:rPr>
        <w:t xml:space="preserve">Carbon accumulation trajectories differ between sub-categories: planted monocultures accrue above-ground biomass faster initially but commonly reach lower long-term equilibrium carbon stocks than mixed naturally recruited stands. Compilers should document sub-category membership as this distinction is material for downstream carbon accounting and additionality analyses.</w:t>
      </w:r>
    </w:p>
    <w:bookmarkStart w:id="71" w:name="extent-account-structure"/>
    <w:p>
      <w:pPr>
        <w:pStyle w:val="Heading4"/>
      </w:pPr>
      <w:r>
        <w:rPr>
          <w:lang w:val="en"/>
        </w:rPr>
        <w:t xml:space="preserve">Extent account structure</w:t>
      </w:r>
    </w:p>
    <w:p>
      <w:pPr>
        <w:pStyle w:val="FirstParagraph"/>
      </w:pPr>
      <w:hyperlink w:anchor="extent-account-structure">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“Extent account structure”</w:t>
        </w:r>
      </w:hyperlink>
    </w:p>
    <w:bookmarkEnd w:id="71"/>
    <w:p>
      <w:pPr>
        <w:pStyle w:val="BodyText"/>
      </w:pPr>
      <w:r>
        <w:rPr>
          <w:lang w:val="en"/>
        </w:rPr>
        <w:t xml:space="preserve">¶1</w:t>
      </w:r>
      <w:r>
        <w:rPr>
          <w:lang w:val="en"/>
        </w:rPr>
        <w:t xml:space="preserve"> </w:t>
      </w:r>
      <w:r>
        <w:rPr>
          <w:lang w:val="en"/>
        </w:rPr>
        <w:t xml:space="preserve">The extent account structure is set out in</w:t>
      </w:r>
      <w:r>
        <w:rPr>
          <w:lang w:val="en"/>
        </w:rPr>
        <w:t xml:space="preserve"> </w:t>
      </w:r>
      <w:hyperlink r:id="rId38">
        <w:r>
          <w:rPr>
            <w:rStyle w:val="Hyperlink"/>
            <w:bCs/>
            <w:b/>
            <w:lang w:val="en"/>
          </w:rPr>
          <w:t xml:space="preserve">TG-3.1 Asset Accounts</w:t>
        </w:r>
      </w:hyperlink>
      <w:r>
        <w:rPr>
          <w:lang w:val="en"/>
        </w:rPr>
        <w:t xml:space="preserve"> </w:t>
      </w:r>
      <w:r>
        <w:rPr>
          <w:lang w:val="en"/>
        </w:rPr>
        <w:t xml:space="preserve">Section 3.5.1 (Tables 2a and 2b) and is not restated here</w:t>
      </w:r>
      <w:hyperlink w:anchor="user-content-fn-7">
        <w:r>
          <w:rPr>
            <w:rStyle w:val="Hyperlink"/>
            <w:vertAlign w:val="superscript"/>
            <w:lang w:val="en"/>
          </w:rPr>
          <w:t xml:space="preserve">16</w:t>
        </w:r>
      </w:hyperlink>
      <w:r>
        <w:rPr>
          <w:lang w:val="en"/>
        </w:rPr>
        <w:t xml:space="preserve">,</w:t>
      </w:r>
      <w:r>
        <w:rPr>
          <w:lang w:val="en"/>
        </w:rPr>
        <w:t xml:space="preserve"> </w:t>
      </w:r>
      <w:hyperlink w:anchor="user-content-fn-17">
        <w:r>
          <w:rPr>
            <w:rStyle w:val="Hyperlink"/>
            <w:vertAlign w:val="superscript"/>
            <w:lang w:val="en"/>
          </w:rPr>
          <w:t xml:space="preserve">17</w:t>
        </w:r>
      </w:hyperlink>
      <w:r>
        <w:rPr>
          <w:lang w:val="en"/>
        </w:rPr>
        <w:t xml:space="preserve">; Section 3.5.3 of the same circular governs how extent entries flow into the asset balance sheet. Compile one column per ecosystem functional group present — mangroves (MFT1.2), saltmarshes (MFT1.3) and coastal river deltas (MFT1.1) — and a worked account appears at Section 3.8 below.</w:t>
      </w:r>
    </w:p>
    <w:p>
      <w:pPr>
        <w:pStyle w:val="BodyText"/>
      </w:pPr>
      <w:r>
        <w:rPr>
          <w:lang w:val="en"/>
        </w:rPr>
        <w:t xml:space="preserve">¶2</w:t>
      </w:r>
      <w:r>
        <w:rPr>
          <w:lang w:val="en"/>
        </w:rPr>
        <w:t xml:space="preserve"> </w:t>
      </w:r>
      <w:r>
        <w:rPr>
          <w:lang w:val="en"/>
        </w:rPr>
        <w:t xml:space="preserve">Managed expansion arising from a</w:t>
      </w:r>
      <w:r>
        <w:rPr>
          <w:lang w:val="en"/>
        </w:rPr>
        <w:t xml:space="preserve"> </w:t>
      </w:r>
      <w:r>
        <w:rPr>
          <w:bCs/>
          <w:b/>
          <w:lang w:val="en"/>
        </w:rPr>
        <w:t xml:space="preserve">restoration intervention</w:t>
      </w:r>
      <w:r>
        <w:rPr>
          <w:lang w:val="en"/>
        </w:rPr>
        <w:t xml:space="preserve"> </w:t>
      </w:r>
      <w:r>
        <w:rPr>
          <w:lang w:val="en"/>
        </w:rPr>
        <w:t xml:space="preserve">carries a second set of entries — counterfactual, survival, permanence and lifecycle cost — recorded in parallel under</w:t>
      </w:r>
      <w:r>
        <w:rPr>
          <w:lang w:val="en"/>
        </w:rPr>
        <w:t xml:space="preserve"> </w:t>
      </w:r>
      <w:hyperlink r:id="rId72">
        <w:r>
          <w:rPr>
            <w:rStyle w:val="Hyperlink"/>
            <w:bCs/>
            <w:b/>
            <w:lang w:val="en"/>
          </w:rPr>
          <w:t xml:space="preserve">TG-6.15 Ocean Accounting for Nature-based Solutions</w:t>
        </w:r>
      </w:hyperlink>
      <w:r>
        <w:rPr>
          <w:lang w:val="en"/>
        </w:rPr>
        <w:t xml:space="preserve"> </w:t>
      </w:r>
      <w:r>
        <w:rPr>
          <w:lang w:val="en"/>
        </w:rPr>
        <w:t xml:space="preserve">Section 3.2. The extent entry here and the NbS ledger there describe the same planting from different sides and are not alternatives.</w:t>
      </w:r>
    </w:p>
    <w:p>
      <w:pPr>
        <w:pStyle w:val="BodyText"/>
      </w:pPr>
      <w:r>
        <w:rPr>
          <w:lang w:val="en"/>
        </w:rPr>
        <w:t xml:space="preserve">¶3</w:t>
      </w:r>
      <w:r>
        <w:rPr>
          <w:lang w:val="en"/>
        </w:rPr>
        <w:t xml:space="preserve"> </w:t>
      </w:r>
      <w:r>
        <w:rPr>
          <w:lang w:val="en"/>
        </w:rPr>
        <w:t xml:space="preserve">Two entries need care in wetlands.</w:t>
      </w:r>
      <w:r>
        <w:rPr>
          <w:lang w:val="en"/>
        </w:rPr>
        <w:t xml:space="preserve"> </w:t>
      </w:r>
      <w:r>
        <w:rPr>
          <w:bCs/>
          <w:b/>
          <w:lang w:val="en"/>
        </w:rPr>
        <w:t xml:space="preserve">Landward migration</w:t>
      </w:r>
      <w:r>
        <w:rPr>
          <w:lang w:val="en"/>
        </w:rPr>
        <w:t xml:space="preserve"> </w:t>
      </w:r>
      <w:r>
        <w:rPr>
          <w:lang w:val="en"/>
        </w:rPr>
        <w:t xml:space="preserve">under sea-level rise is a reclassification and not an addition: the mangrove belt gains area from terrestrial ecosystem types and loses it seaward, and both legs belong in the reclassification block so the accounting area still balances.</w:t>
      </w:r>
      <w:r>
        <w:rPr>
          <w:lang w:val="en"/>
        </w:rPr>
        <w:t xml:space="preserve"> </w:t>
      </w:r>
      <w:r>
        <w:rPr>
          <w:bCs/>
          <w:b/>
          <w:lang w:val="en"/>
        </w:rPr>
        <w:t xml:space="preserve">Planted restoration</w:t>
      </w:r>
      <w:r>
        <w:rPr>
          <w:lang w:val="en"/>
        </w:rPr>
        <w:t xml:space="preserve"> </w:t>
      </w:r>
      <w:r>
        <w:rPr>
          <w:lang w:val="en"/>
        </w:rPr>
        <w:t xml:space="preserve">is a managed addition only once the stand meets the national classification threshold for the functional group; seedlings planted and not yet established are restoration expenditure with no extent entry, and recording them early is the most common source of overstated mangrove gain.</w:t>
      </w:r>
    </w:p>
    <w:bookmarkStart w:id="75" w:name="Xb6262516ad556d9321713604cccc2a2efe5894f"/>
    <w:p>
      <w:pPr>
        <w:pStyle w:val="Heading3"/>
      </w:pPr>
      <w:r>
        <w:rPr>
          <w:lang w:val="en"/>
        </w:rPr>
        <w:t xml:space="preserve">3.2</w:t>
      </w:r>
      <w:r>
        <w:rPr>
          <w:lang w:val="en"/>
        </w:rPr>
        <w:t xml:space="preserve"> </w:t>
      </w:r>
      <w:r>
        <w:rPr>
          <w:lang w:val="en"/>
        </w:rPr>
        <w:t xml:space="preserve">Condition Assessment</w:t>
      </w:r>
    </w:p>
    <w:p>
      <w:pPr>
        <w:pStyle w:val="FirstParagraph"/>
      </w:pPr>
      <w:hyperlink w:anchor="Xb6262516ad556d9321713604cccc2a2efe5894f">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Condition Assessment”</w:t>
        </w:r>
      </w:hyperlink>
    </w:p>
    <w:bookmarkEnd w:id="75"/>
    <w:p>
      <w:pPr>
        <w:pStyle w:val="BodyText"/>
      </w:pPr>
      <w:r>
        <w:rPr>
          <w:lang w:val="en"/>
        </w:rPr>
        <w:t xml:space="preserve">¶1</w:t>
      </w:r>
      <w:r>
        <w:rPr>
          <w:lang w:val="en"/>
        </w:rPr>
        <w:t xml:space="preserve"> </w:t>
      </w:r>
      <w:r>
        <w:rPr>
          <w:lang w:val="en"/>
        </w:rPr>
        <w:t xml:space="preserve">Ecosystem condition accounts record ecosystem quality through variables reflecting composition, structure, and function</w:t>
      </w:r>
      <w:hyperlink w:anchor="user-content-fn-18">
        <w:r>
          <w:rPr>
            <w:rStyle w:val="Hyperlink"/>
            <w:vertAlign w:val="superscript"/>
            <w:lang w:val="en"/>
          </w:rPr>
          <w:t xml:space="preserve">18</w:t>
        </w:r>
      </w:hyperlink>
      <w:r>
        <w:rPr>
          <w:lang w:val="en"/>
        </w:rPr>
        <w:t xml:space="preserve">,</w:t>
      </w:r>
      <w:r>
        <w:rPr>
          <w:lang w:val="en"/>
        </w:rPr>
        <w:t xml:space="preserve"> </w:t>
      </w:r>
      <w:hyperlink w:anchor="user-content-fn-19">
        <w:r>
          <w:rPr>
            <w:rStyle w:val="Hyperlink"/>
            <w:vertAlign w:val="superscript"/>
            <w:lang w:val="en"/>
          </w:rPr>
          <w:t xml:space="preserve">19</w:t>
        </w:r>
      </w:hyperlink>
      <w:r>
        <w:rPr>
          <w:lang w:val="en"/>
        </w:rPr>
        <w:t xml:space="preserve">,</w:t>
      </w:r>
      <w:r>
        <w:rPr>
          <w:lang w:val="en"/>
        </w:rPr>
        <w:t xml:space="preserve"> </w:t>
      </w:r>
      <w:hyperlink w:anchor="user-content-fn-83">
        <w:r>
          <w:rPr>
            <w:rStyle w:val="Hyperlink"/>
            <w:vertAlign w:val="superscript"/>
            <w:lang w:val="en"/>
          </w:rPr>
          <w:t xml:space="preserve">20</w:t>
        </w:r>
      </w:hyperlink>
      <w:r>
        <w:rPr>
          <w:lang w:val="en"/>
        </w:rPr>
        <w:t xml:space="preserve">. For the general ECT framework and condition variable selection, see</w:t>
      </w:r>
      <w:r>
        <w:rPr>
          <w:lang w:val="en"/>
        </w:rPr>
        <w:t xml:space="preserve"> </w:t>
      </w:r>
      <w:hyperlink r:id="rId40">
        <w:r>
          <w:rPr>
            <w:rStyle w:val="Hyperlink"/>
            <w:bCs/>
            <w:b/>
            <w:lang w:val="en"/>
          </w:rPr>
          <w:t xml:space="preserve">TG-4.8 Physical Condition Measurement §3.1</w:t>
        </w:r>
      </w:hyperlink>
      <w:r>
        <w:rPr>
          <w:lang w:val="en"/>
        </w:rPr>
        <w:t xml:space="preserve"> </w:t>
      </w:r>
      <w:r>
        <w:rPr>
          <w:lang w:val="en"/>
        </w:rPr>
        <w:t xml:space="preserve">and</w:t>
      </w:r>
      <w:r>
        <w:rPr>
          <w:lang w:val="en"/>
        </w:rPr>
        <w:t xml:space="preserve"> </w:t>
      </w:r>
      <w:hyperlink r:id="rId41">
        <w:r>
          <w:rPr>
            <w:rStyle w:val="Hyperlink"/>
            <w:bCs/>
            <w:b/>
            <w:lang w:val="en"/>
          </w:rPr>
          <w:t xml:space="preserve">TG-4.9 Biological Condition Measurement §3.1</w:t>
        </w:r>
      </w:hyperlink>
      <w:r>
        <w:rPr>
          <w:lang w:val="en"/>
        </w:rPr>
        <w:t xml:space="preserve">. The variables below are mangrove- and wetland-specific applications of ECT classes, with an indication of whether each is estimable from remote sensing (</w:t>
      </w:r>
      <w:r>
        <w:rPr>
          <w:iCs/>
          <w:i/>
          <w:lang w:val="en"/>
        </w:rPr>
        <w:t xml:space="preserve">RS</w:t>
      </w:r>
      <w:r>
        <w:rPr>
          <w:lang w:val="en"/>
        </w:rPr>
        <w:t xml:space="preserve">) or field sampling (</w:t>
      </w:r>
      <w:r>
        <w:rPr>
          <w:iCs/>
          <w:i/>
          <w:lang w:val="en"/>
        </w:rPr>
        <w:t xml:space="preserve">FS</w:t>
      </w:r>
      <w:r>
        <w:rPr>
          <w:lang w:val="en"/>
        </w:rPr>
        <w:t xml:space="preserve">)</w:t>
      </w:r>
      <w:hyperlink w:anchor="user-content-fn-20">
        <w:r>
          <w:rPr>
            <w:rStyle w:val="Hyperlink"/>
            <w:vertAlign w:val="superscript"/>
            <w:lang w:val="en"/>
          </w:rPr>
          <w:t xml:space="preserve">21</w:t>
        </w:r>
      </w:hyperlink>
      <w:r>
        <w:rPr>
          <w:lang w:val="en"/>
        </w:rPr>
        <w:t xml:space="preserve">.</w:t>
      </w:r>
    </w:p>
    <w:p>
      <w:pPr>
        <w:pStyle w:val="BodyText"/>
      </w:pPr>
      <w:r>
        <w:rPr>
          <w:lang w:val="en"/>
        </w:rPr>
        <w:t xml:space="preserve">¶2</w:t>
      </w:r>
      <w:r>
        <w:rPr>
          <w:lang w:val="en"/>
        </w:rPr>
        <w:t xml:space="preserve"> </w:t>
      </w:r>
      <w:r>
        <w:rPr>
          <w:bCs/>
          <w:b/>
          <w:lang w:val="en"/>
        </w:rPr>
        <w:t xml:space="preserve">Physical state (A1):</w:t>
      </w:r>
      <w:r>
        <w:rPr>
          <w:lang w:val="en"/>
        </w:rPr>
        <w:t xml:space="preserve"> </w:t>
      </w:r>
      <w:r>
        <w:rPr>
          <w:lang w:val="en"/>
        </w:rPr>
        <w:t xml:space="preserve">Tidal inundation regime (</w:t>
      </w:r>
      <w:r>
        <w:rPr>
          <w:iCs/>
          <w:i/>
          <w:lang w:val="en"/>
        </w:rPr>
        <w:t xml:space="preserve">FS</w:t>
      </w:r>
      <w:r>
        <w:rPr>
          <w:lang w:val="en"/>
        </w:rPr>
        <w:t xml:space="preserve">); sediment accretion/erosion rate (</w:t>
      </w:r>
      <w:r>
        <w:rPr>
          <w:iCs/>
          <w:i/>
          <w:lang w:val="en"/>
        </w:rPr>
        <w:t xml:space="preserve">FS</w:t>
      </w:r>
      <w:r>
        <w:rPr>
          <w:lang w:val="en"/>
        </w:rPr>
        <w:t xml:space="preserve">); groundwater level (</w:t>
      </w:r>
      <w:r>
        <w:rPr>
          <w:iCs/>
          <w:i/>
          <w:lang w:val="en"/>
        </w:rPr>
        <w:t xml:space="preserve">FS</w:t>
      </w:r>
      <w:r>
        <w:rPr>
          <w:lang w:val="en"/>
        </w:rPr>
        <w:t xml:space="preserve">).</w:t>
      </w:r>
    </w:p>
    <w:p>
      <w:pPr>
        <w:pStyle w:val="BodyText"/>
      </w:pPr>
      <w:r>
        <w:rPr>
          <w:lang w:val="en"/>
        </w:rPr>
        <w:t xml:space="preserve">¶3</w:t>
      </w:r>
      <w:r>
        <w:rPr>
          <w:lang w:val="en"/>
        </w:rPr>
        <w:t xml:space="preserve"> </w:t>
      </w:r>
      <w:r>
        <w:rPr>
          <w:bCs/>
          <w:b/>
          <w:lang w:val="en"/>
        </w:rPr>
        <w:t xml:space="preserve">Chemical state (A2):</w:t>
      </w:r>
      <w:r>
        <w:rPr>
          <w:lang w:val="en"/>
        </w:rPr>
        <w:t xml:space="preserve"> </w:t>
      </w:r>
      <w:r>
        <w:rPr>
          <w:lang w:val="en"/>
        </w:rPr>
        <w:t xml:space="preserve">Water salinity (</w:t>
      </w:r>
      <w:r>
        <w:rPr>
          <w:iCs/>
          <w:i/>
          <w:lang w:val="en"/>
        </w:rPr>
        <w:t xml:space="preserve">FS</w:t>
      </w:r>
      <w:r>
        <w:rPr>
          <w:lang w:val="en"/>
        </w:rPr>
        <w:t xml:space="preserve">); nutrient concentrations (</w:t>
      </w:r>
      <w:r>
        <w:rPr>
          <w:iCs/>
          <w:i/>
          <w:lang w:val="en"/>
        </w:rPr>
        <w:t xml:space="preserve">FS</w:t>
      </w:r>
      <w:r>
        <w:rPr>
          <w:lang w:val="en"/>
        </w:rPr>
        <w:t xml:space="preserve">); dissolved oxygen (</w:t>
      </w:r>
      <w:r>
        <w:rPr>
          <w:iCs/>
          <w:i/>
          <w:lang w:val="en"/>
        </w:rPr>
        <w:t xml:space="preserve">FS</w:t>
      </w:r>
      <w:r>
        <w:rPr>
          <w:lang w:val="en"/>
        </w:rPr>
        <w:t xml:space="preserve">).</w:t>
      </w:r>
    </w:p>
    <w:p>
      <w:pPr>
        <w:pStyle w:val="BodyText"/>
      </w:pPr>
      <w:r>
        <w:rPr>
          <w:lang w:val="en"/>
        </w:rPr>
        <w:t xml:space="preserve">¶4</w:t>
      </w:r>
      <w:r>
        <w:rPr>
          <w:lang w:val="en"/>
        </w:rPr>
        <w:t xml:space="preserve"> </w:t>
      </w:r>
      <w:r>
        <w:rPr>
          <w:bCs/>
          <w:b/>
          <w:lang w:val="en"/>
        </w:rPr>
        <w:t xml:space="preserve">Compositional state (B1):</w:t>
      </w:r>
      <w:r>
        <w:rPr>
          <w:lang w:val="en"/>
        </w:rPr>
        <w:t xml:space="preserve"> </w:t>
      </w:r>
      <w:r>
        <w:rPr>
          <w:lang w:val="en"/>
        </w:rPr>
        <w:t xml:space="preserve">Species richness (</w:t>
      </w:r>
      <w:r>
        <w:rPr>
          <w:iCs/>
          <w:i/>
          <w:lang w:val="en"/>
        </w:rPr>
        <w:t xml:space="preserve">FS</w:t>
      </w:r>
      <w:r>
        <w:rPr>
          <w:lang w:val="en"/>
        </w:rPr>
        <w:t xml:space="preserve">); community composition (</w:t>
      </w:r>
      <w:r>
        <w:rPr>
          <w:iCs/>
          <w:i/>
          <w:lang w:val="en"/>
        </w:rPr>
        <w:t xml:space="preserve">FS</w:t>
      </w:r>
      <w:r>
        <w:rPr>
          <w:lang w:val="en"/>
        </w:rPr>
        <w:t xml:space="preserve">); presence of key species (</w:t>
      </w:r>
      <w:r>
        <w:rPr>
          <w:iCs/>
          <w:i/>
          <w:lang w:val="en"/>
        </w:rPr>
        <w:t xml:space="preserve">FS</w:t>
      </w:r>
      <w:r>
        <w:rPr>
          <w:lang w:val="en"/>
        </w:rPr>
        <w:t xml:space="preserve">).</w:t>
      </w:r>
    </w:p>
    <w:p>
      <w:pPr>
        <w:pStyle w:val="BodyText"/>
      </w:pPr>
      <w:r>
        <w:rPr>
          <w:lang w:val="en"/>
        </w:rPr>
        <w:t xml:space="preserve">¶5</w:t>
      </w:r>
      <w:r>
        <w:rPr>
          <w:lang w:val="en"/>
        </w:rPr>
        <w:t xml:space="preserve"> </w:t>
      </w:r>
      <w:r>
        <w:rPr>
          <w:bCs/>
          <w:b/>
          <w:lang w:val="en"/>
        </w:rPr>
        <w:t xml:space="preserve">Structural state (B2):</w:t>
      </w:r>
      <w:r>
        <w:rPr>
          <w:lang w:val="en"/>
        </w:rPr>
        <w:t xml:space="preserve"> </w:t>
      </w:r>
      <w:r>
        <w:rPr>
          <w:lang w:val="en"/>
        </w:rPr>
        <w:t xml:space="preserve">Canopy cover (</w:t>
      </w:r>
      <w:r>
        <w:rPr>
          <w:iCs/>
          <w:i/>
          <w:lang w:val="en"/>
        </w:rPr>
        <w:t xml:space="preserve">RS</w:t>
      </w:r>
      <w:r>
        <w:rPr>
          <w:lang w:val="en"/>
        </w:rPr>
        <w:t xml:space="preserve">); canopy height (</w:t>
      </w:r>
      <w:r>
        <w:rPr>
          <w:iCs/>
          <w:i/>
          <w:lang w:val="en"/>
        </w:rPr>
        <w:t xml:space="preserve">RS</w:t>
      </w:r>
      <w:r>
        <w:rPr>
          <w:lang w:val="en"/>
        </w:rPr>
        <w:t xml:space="preserve"> </w:t>
      </w:r>
      <w:r>
        <w:rPr>
          <w:lang w:val="en"/>
        </w:rPr>
        <w:t xml:space="preserve">via LiDAR); above-ground biomass (</w:t>
      </w:r>
      <w:r>
        <w:rPr>
          <w:iCs/>
          <w:i/>
          <w:lang w:val="en"/>
        </w:rPr>
        <w:t xml:space="preserve">RS</w:t>
      </w:r>
      <w:r>
        <w:rPr>
          <w:lang w:val="en"/>
        </w:rPr>
        <w:t xml:space="preserve"> </w:t>
      </w:r>
      <w:r>
        <w:rPr>
          <w:lang w:val="en"/>
        </w:rPr>
        <w:t xml:space="preserve">via SAR/allometry); tree density (</w:t>
      </w:r>
      <w:r>
        <w:rPr>
          <w:iCs/>
          <w:i/>
          <w:lang w:val="en"/>
        </w:rPr>
        <w:t xml:space="preserve">FS</w:t>
      </w:r>
      <w:r>
        <w:rPr>
          <w:lang w:val="en"/>
        </w:rPr>
        <w:t xml:space="preserve">).</w:t>
      </w:r>
    </w:p>
    <w:p>
      <w:pPr>
        <w:pStyle w:val="BodyText"/>
      </w:pPr>
      <w:r>
        <w:rPr>
          <w:lang w:val="en"/>
        </w:rPr>
        <w:t xml:space="preserve">¶6</w:t>
      </w:r>
      <w:r>
        <w:rPr>
          <w:lang w:val="en"/>
        </w:rPr>
        <w:t xml:space="preserve"> </w:t>
      </w:r>
      <w:r>
        <w:rPr>
          <w:bCs/>
          <w:b/>
          <w:lang w:val="en"/>
        </w:rPr>
        <w:t xml:space="preserve">Functional state (B3):</w:t>
      </w:r>
      <w:r>
        <w:rPr>
          <w:lang w:val="en"/>
        </w:rPr>
        <w:t xml:space="preserve"> </w:t>
      </w:r>
      <w:r>
        <w:rPr>
          <w:lang w:val="en"/>
        </w:rPr>
        <w:t xml:space="preserve">Net Primary Productivity (</w:t>
      </w:r>
      <w:r>
        <w:rPr>
          <w:iCs/>
          <w:i/>
          <w:lang w:val="en"/>
        </w:rPr>
        <w:t xml:space="preserve">RS</w:t>
      </w:r>
      <w:r>
        <w:rPr>
          <w:lang w:val="en"/>
        </w:rPr>
        <w:t xml:space="preserve"> </w:t>
      </w:r>
      <w:r>
        <w:rPr>
          <w:lang w:val="en"/>
        </w:rPr>
        <w:t xml:space="preserve">via MODIS/Sentinel); litterfall rate (</w:t>
      </w:r>
      <w:r>
        <w:rPr>
          <w:iCs/>
          <w:i/>
          <w:lang w:val="en"/>
        </w:rPr>
        <w:t xml:space="preserve">FS</w:t>
      </w:r>
      <w:r>
        <w:rPr>
          <w:lang w:val="en"/>
        </w:rPr>
        <w:t xml:space="preserve">); regeneration success (</w:t>
      </w:r>
      <w:r>
        <w:rPr>
          <w:iCs/>
          <w:i/>
          <w:lang w:val="en"/>
        </w:rPr>
        <w:t xml:space="preserve">FS</w:t>
      </w:r>
      <w:r>
        <w:rPr>
          <w:lang w:val="en"/>
        </w:rPr>
        <w:t xml:space="preserve">).</w:t>
      </w:r>
    </w:p>
    <w:p>
      <w:pPr>
        <w:pStyle w:val="BodyText"/>
      </w:pPr>
      <w:r>
        <w:rPr>
          <w:lang w:val="en"/>
        </w:rPr>
        <w:t xml:space="preserve">¶7</w:t>
      </w:r>
      <w:r>
        <w:rPr>
          <w:lang w:val="en"/>
        </w:rPr>
        <w:t xml:space="preserve"> </w:t>
      </w:r>
      <w:r>
        <w:rPr>
          <w:bCs/>
          <w:b/>
          <w:lang w:val="en"/>
        </w:rPr>
        <w:t xml:space="preserve">Landscape/seascape (C1):</w:t>
      </w:r>
      <w:r>
        <w:rPr>
          <w:lang w:val="en"/>
        </w:rPr>
        <w:t xml:space="preserve"> </w:t>
      </w:r>
      <w:r>
        <w:rPr>
          <w:lang w:val="en"/>
        </w:rPr>
        <w:t xml:space="preserve">Hydrological connectivity (</w:t>
      </w:r>
      <w:r>
        <w:rPr>
          <w:iCs/>
          <w:i/>
          <w:lang w:val="en"/>
        </w:rPr>
        <w:t xml:space="preserve">RS</w:t>
      </w:r>
      <w:r>
        <w:rPr>
          <w:lang w:val="en"/>
        </w:rPr>
        <w:t xml:space="preserve">+</w:t>
      </w:r>
      <w:r>
        <w:rPr>
          <w:iCs/>
          <w:i/>
          <w:lang w:val="en"/>
        </w:rPr>
        <w:t xml:space="preserve">FS</w:t>
      </w:r>
      <w:r>
        <w:rPr>
          <w:lang w:val="en"/>
        </w:rPr>
        <w:t xml:space="preserve">); fragmentation (</w:t>
      </w:r>
      <w:r>
        <w:rPr>
          <w:iCs/>
          <w:i/>
          <w:lang w:val="en"/>
        </w:rPr>
        <w:t xml:space="preserve">RS</w:t>
      </w:r>
      <w:r>
        <w:rPr>
          <w:lang w:val="en"/>
        </w:rPr>
        <w:t xml:space="preserve">); edge effects (</w:t>
      </w:r>
      <w:r>
        <w:rPr>
          <w:iCs/>
          <w:i/>
          <w:lang w:val="en"/>
        </w:rPr>
        <w:t xml:space="preserve">RS</w:t>
      </w:r>
      <w:r>
        <w:rPr>
          <w:lang w:val="en"/>
        </w:rPr>
        <w:t xml:space="preserve">).</w:t>
      </w:r>
    </w:p>
    <w:bookmarkStart w:id="78" w:name="key-condition-indicators"/>
    <w:p>
      <w:pPr>
        <w:pStyle w:val="Heading4"/>
      </w:pPr>
      <w:r>
        <w:rPr>
          <w:lang w:val="en"/>
        </w:rPr>
        <w:t xml:space="preserve">Key condition indicators</w:t>
      </w:r>
    </w:p>
    <w:p>
      <w:pPr>
        <w:pStyle w:val="FirstParagraph"/>
      </w:pPr>
      <w:hyperlink w:anchor="key-condition-indicators">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“Key condition indicators”</w:t>
        </w:r>
      </w:hyperlink>
    </w:p>
    <w:bookmarkEnd w:id="78"/>
    <w:p>
      <w:pPr>
        <w:pStyle w:val="BodyText"/>
      </w:pPr>
      <w:r>
        <w:rPr>
          <w:lang w:val="en"/>
        </w:rPr>
        <w:t xml:space="preserve">¶1</w:t>
      </w:r>
      <w:r>
        <w:rPr>
          <w:lang w:val="en"/>
        </w:rPr>
        <w:t xml:space="preserve"> </w:t>
      </w:r>
      <w:r>
        <w:rPr>
          <w:bCs/>
          <w:b/>
          <w:lang w:val="en"/>
        </w:rPr>
        <w:t xml:space="preserve">Canopy cover</w:t>
      </w:r>
      <w:r>
        <w:rPr>
          <w:lang w:val="en"/>
        </w:rPr>
        <w:t xml:space="preserve"> </w:t>
      </w:r>
      <w:r>
        <w:rPr>
          <w:lang w:val="en"/>
        </w:rPr>
        <w:t xml:space="preserve">is a primary structural indicator measurable through remote sensing, and describes forest density and intactness</w:t>
      </w:r>
      <w:hyperlink w:anchor="user-content-fn-21">
        <w:r>
          <w:rPr>
            <w:rStyle w:val="Hyperlink"/>
            <w:vertAlign w:val="superscript"/>
            <w:lang w:val="en"/>
          </w:rPr>
          <w:t xml:space="preserve">22</w:t>
        </w:r>
      </w:hyperlink>
      <w:r>
        <w:rPr>
          <w:lang w:val="en"/>
        </w:rPr>
        <w:t xml:space="preserve">.</w:t>
      </w:r>
    </w:p>
    <w:p>
      <w:pPr>
        <w:pStyle w:val="BodyText"/>
      </w:pPr>
      <w:r>
        <w:rPr>
          <w:lang w:val="en"/>
        </w:rPr>
        <w:t xml:space="preserve">¶2</w:t>
      </w:r>
      <w:r>
        <w:rPr>
          <w:lang w:val="en"/>
        </w:rPr>
        <w:t xml:space="preserve"> </w:t>
      </w:r>
      <w:r>
        <w:rPr>
          <w:bCs/>
          <w:b/>
          <w:lang w:val="en"/>
        </w:rPr>
        <w:t xml:space="preserve">Species composition</w:t>
      </w:r>
      <w:r>
        <w:rPr>
          <w:lang w:val="en"/>
        </w:rPr>
        <w:t xml:space="preserve"> </w:t>
      </w:r>
      <w:r>
        <w:rPr>
          <w:lang w:val="en"/>
        </w:rPr>
        <w:t xml:space="preserve">reflects ecological integrity. Presence of climax species (e.g., Rhizophora in many tropical settings) indicates mature, stable ecosystems</w:t>
      </w:r>
      <w:hyperlink w:anchor="user-content-fn-22">
        <w:r>
          <w:rPr>
            <w:rStyle w:val="Hyperlink"/>
            <w:vertAlign w:val="superscript"/>
            <w:lang w:val="en"/>
          </w:rPr>
          <w:t xml:space="preserve">23</w:t>
        </w:r>
      </w:hyperlink>
      <w:r>
        <w:rPr>
          <w:lang w:val="en"/>
        </w:rPr>
        <w:t xml:space="preserve">.</w:t>
      </w:r>
    </w:p>
    <w:p>
      <w:pPr>
        <w:pStyle w:val="BodyText"/>
      </w:pPr>
      <w:r>
        <w:rPr>
          <w:lang w:val="en"/>
        </w:rPr>
        <w:t xml:space="preserve">¶3</w:t>
      </w:r>
      <w:r>
        <w:rPr>
          <w:lang w:val="en"/>
        </w:rPr>
        <w:t xml:space="preserve"> </w:t>
      </w:r>
      <w:r>
        <w:rPr>
          <w:bCs/>
          <w:b/>
          <w:lang w:val="en"/>
        </w:rPr>
        <w:t xml:space="preserve">Hydrological connectivity</w:t>
      </w:r>
      <w:r>
        <w:rPr>
          <w:lang w:val="en"/>
        </w:rPr>
        <w:t xml:space="preserve"> </w:t>
      </w:r>
      <w:r>
        <w:rPr>
          <w:lang w:val="en"/>
        </w:rPr>
        <w:t xml:space="preserve">governs coastal wetland function, affecting sediment supply, nutrient exchange, and biotic recruitment</w:t>
      </w:r>
      <w:hyperlink w:anchor="user-content-fn-23">
        <w:r>
          <w:rPr>
            <w:rStyle w:val="Hyperlink"/>
            <w:vertAlign w:val="superscript"/>
            <w:lang w:val="en"/>
          </w:rPr>
          <w:t xml:space="preserve">24</w:t>
        </w:r>
      </w:hyperlink>
      <w:r>
        <w:rPr>
          <w:lang w:val="en"/>
        </w:rPr>
        <w:t xml:space="preserve">. Disruption through road construction, aquaculture bunds, or drainage infrastructure is a major cause of degradation. Assess through tidal range comparison (observed vs. reference), distance to tidal inlet, and presence of flow barriers.</w:t>
      </w:r>
    </w:p>
    <w:p>
      <w:pPr>
        <w:pStyle w:val="BodyText"/>
      </w:pPr>
      <w:r>
        <w:rPr>
          <w:lang w:val="en"/>
        </w:rPr>
        <w:t xml:space="preserve">¶4</w:t>
      </w:r>
      <w:r>
        <w:rPr>
          <w:lang w:val="en"/>
        </w:rPr>
        <w:t xml:space="preserve"> </w:t>
      </w:r>
      <w:r>
        <w:rPr>
          <w:bCs/>
          <w:b/>
          <w:lang w:val="en"/>
        </w:rPr>
        <w:t xml:space="preserve">Sediment elevation change</w:t>
      </w:r>
      <w:r>
        <w:rPr>
          <w:lang w:val="en"/>
        </w:rPr>
        <w:t xml:space="preserve"> </w:t>
      </w:r>
      <w:r>
        <w:rPr>
          <w:lang w:val="en"/>
        </w:rPr>
        <w:t xml:space="preserve">indicates whether wetlands are maintaining pace with sea-level rise</w:t>
      </w:r>
      <w:hyperlink w:anchor="user-content-fn-24">
        <w:r>
          <w:rPr>
            <w:rStyle w:val="Hyperlink"/>
            <w:vertAlign w:val="superscript"/>
            <w:lang w:val="en"/>
          </w:rPr>
          <w:t xml:space="preserve">25</w:t>
        </w:r>
      </w:hyperlink>
      <w:r>
        <w:rPr>
          <w:lang w:val="en"/>
        </w:rPr>
        <w:t xml:space="preserve">. Surface Elevation Tables (SETs) provide direct measurements. Treat as a core indicator where relative sea-level rise exceeds 2 mm/yr, and as optional but recommended elsewhere. This indicator supports climate adaptation planning.</w:t>
      </w:r>
    </w:p>
    <w:bookmarkStart w:id="81" w:name="reference-conditions"/>
    <w:p>
      <w:pPr>
        <w:pStyle w:val="Heading4"/>
      </w:pPr>
      <w:r>
        <w:rPr>
          <w:lang w:val="en"/>
        </w:rPr>
        <w:t xml:space="preserve">Reference conditions</w:t>
      </w:r>
    </w:p>
    <w:p>
      <w:pPr>
        <w:pStyle w:val="FirstParagraph"/>
      </w:pPr>
      <w:hyperlink w:anchor="reference-conditions">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“Reference conditions”</w:t>
        </w:r>
      </w:hyperlink>
    </w:p>
    <w:bookmarkEnd w:id="81"/>
    <w:p>
      <w:pPr>
        <w:pStyle w:val="BodyText"/>
      </w:pPr>
      <w:r>
        <w:rPr>
          <w:lang w:val="en"/>
        </w:rPr>
        <w:t xml:space="preserve">¶1</w:t>
      </w:r>
      <w:r>
        <w:rPr>
          <w:lang w:val="en"/>
        </w:rPr>
        <w:t xml:space="preserve"> </w:t>
      </w:r>
      <w:r>
        <w:rPr>
          <w:lang w:val="en"/>
        </w:rPr>
        <w:t xml:space="preserve">Reference conditions are required against which to assess current state, following SEEA EA Section 5.3</w:t>
      </w:r>
      <w:hyperlink w:anchor="user-content-fn-25">
        <w:r>
          <w:rPr>
            <w:rStyle w:val="Hyperlink"/>
            <w:vertAlign w:val="superscript"/>
            <w:lang w:val="en"/>
          </w:rPr>
          <w:t xml:space="preserve">26</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Reference approach</w:t>
            </w:r>
          </w:p>
        </w:tc>
        <w:tc>
          <w:tcPr/>
          <w:p>
            <w:pPr>
              <w:pStyle w:val="Compact"/>
              <w:jc w:val="left"/>
            </w:pPr>
            <w:r>
              <w:rPr>
                <w:lang w:val="en"/>
              </w:rPr>
              <w:t xml:space="preserve">Description</w:t>
            </w:r>
          </w:p>
        </w:tc>
      </w:tr>
      <w:tr>
        <w:tc>
          <w:tcPr/>
          <w:p>
            <w:pPr>
              <w:pStyle w:val="Compact"/>
              <w:jc w:val="left"/>
            </w:pPr>
            <w:r>
              <w:rPr>
                <w:bCs/>
                <w:b/>
                <w:lang w:val="en"/>
              </w:rPr>
              <w:t xml:space="preserve">Historical baselines</w:t>
            </w:r>
          </w:p>
        </w:tc>
        <w:tc>
          <w:tcPr/>
          <w:p>
            <w:pPr>
              <w:pStyle w:val="Compact"/>
              <w:jc w:val="left"/>
            </w:pPr>
            <w:r>
              <w:rPr>
                <w:lang w:val="en"/>
              </w:rPr>
              <w:t xml:space="preserve">Pre-disturbance condition documented through historical records, early imagery, or sediment core analysis.</w:t>
            </w:r>
          </w:p>
        </w:tc>
      </w:tr>
      <w:tr>
        <w:tc>
          <w:tcPr/>
          <w:p>
            <w:pPr>
              <w:pStyle w:val="Compact"/>
              <w:jc w:val="left"/>
            </w:pPr>
            <w:r>
              <w:rPr>
                <w:bCs/>
                <w:b/>
                <w:lang w:val="en"/>
              </w:rPr>
              <w:t xml:space="preserve">Minimally disturbed reference sites</w:t>
            </w:r>
          </w:p>
        </w:tc>
        <w:tc>
          <w:tcPr/>
          <w:p>
            <w:pPr>
              <w:pStyle w:val="Compact"/>
              <w:jc w:val="left"/>
            </w:pPr>
            <w:r>
              <w:rPr>
                <w:lang w:val="en"/>
              </w:rPr>
              <w:t xml:space="preserve">Protected or relatively undisturbed examples of the same ecosystem type in the national territory or ecoregion.</w:t>
            </w:r>
          </w:p>
        </w:tc>
      </w:tr>
      <w:tr>
        <w:tc>
          <w:tcPr/>
          <w:p>
            <w:pPr>
              <w:pStyle w:val="Compact"/>
              <w:jc w:val="left"/>
            </w:pPr>
            <w:r>
              <w:rPr>
                <w:bCs/>
                <w:b/>
                <w:lang w:val="en"/>
              </w:rPr>
              <w:t xml:space="preserve">Expert-defined targets</w:t>
            </w:r>
          </w:p>
        </w:tc>
        <w:tc>
          <w:tcPr/>
          <w:p>
            <w:pPr>
              <w:pStyle w:val="Compact"/>
              <w:jc w:val="left"/>
            </w:pPr>
            <w:r>
              <w:rPr>
                <w:lang w:val="en"/>
              </w:rPr>
              <w:t xml:space="preserve">Expert assessment where historical data and reference sites are unavailable.</w:t>
            </w:r>
          </w:p>
        </w:tc>
      </w:tr>
    </w:tbl>
    <w:p>
      <w:pPr>
        <w:pStyle w:val="BodyText"/>
      </w:pPr>
      <w:r>
        <w:rPr>
          <w:lang w:val="en"/>
        </w:rPr>
        <w:t xml:space="preserve">¶2</w:t>
      </w:r>
      <w:r>
        <w:rPr>
          <w:lang w:val="en"/>
        </w:rPr>
        <w:t xml:space="preserve"> </w:t>
      </w:r>
      <w:r>
        <w:rPr>
          <w:bCs/>
          <w:b/>
          <w:lang w:val="en"/>
        </w:rPr>
        <w:t xml:space="preserve">Decision rule:</w:t>
      </w:r>
      <w:r>
        <w:rPr>
          <w:lang w:val="en"/>
        </w:rPr>
        <w:t xml:space="preserve"> </w:t>
      </w:r>
      <w:r>
        <w:rPr>
          <w:lang w:val="en"/>
        </w:rPr>
        <w:t xml:space="preserve">Prefer (i)</w:t>
      </w:r>
      <w:r>
        <w:rPr>
          <w:lang w:val="en"/>
        </w:rPr>
        <w:t xml:space="preserve"> </w:t>
      </w:r>
      <w:r>
        <w:rPr>
          <w:bCs/>
          <w:b/>
          <w:lang w:val="en"/>
        </w:rPr>
        <w:t xml:space="preserve">minimally disturbed contemporary reference sites</w:t>
      </w:r>
      <w:r>
        <w:rPr>
          <w:lang w:val="en"/>
        </w:rPr>
        <w:t xml:space="preserve"> </w:t>
      </w:r>
      <w:r>
        <w:rPr>
          <w:lang w:val="en"/>
        </w:rPr>
        <w:t xml:space="preserve">in the same biogeographic region; fall back to (ii)</w:t>
      </w:r>
      <w:r>
        <w:rPr>
          <w:lang w:val="en"/>
        </w:rPr>
        <w:t xml:space="preserve"> </w:t>
      </w:r>
      <w:r>
        <w:rPr>
          <w:bCs/>
          <w:b/>
          <w:lang w:val="en"/>
        </w:rPr>
        <w:t xml:space="preserve">historical baselines</w:t>
      </w:r>
      <w:r>
        <w:rPr>
          <w:lang w:val="en"/>
        </w:rPr>
        <w:t xml:space="preserve"> </w:t>
      </w:r>
      <w:r>
        <w:rPr>
          <w:lang w:val="en"/>
        </w:rPr>
        <w:t xml:space="preserve">with documented source and date; fall back to (iii)</w:t>
      </w:r>
      <w:r>
        <w:rPr>
          <w:lang w:val="en"/>
        </w:rPr>
        <w:t xml:space="preserve"> </w:t>
      </w:r>
      <w:r>
        <w:rPr>
          <w:bCs/>
          <w:b/>
          <w:lang w:val="en"/>
        </w:rPr>
        <w:t xml:space="preserve">expert-defined targets</w:t>
      </w:r>
      <w:r>
        <w:rPr>
          <w:lang w:val="en"/>
        </w:rPr>
        <w:t xml:space="preserve"> </w:t>
      </w:r>
      <w:r>
        <w:rPr>
          <w:lang w:val="en"/>
        </w:rPr>
        <w:t xml:space="preserve">only where neither alternative exists.</w:t>
      </w:r>
    </w:p>
    <w:p>
      <w:pPr>
        <w:pStyle w:val="BodyText"/>
      </w:pPr>
      <w:r>
        <w:rPr>
          <w:lang w:val="en"/>
        </w:rPr>
        <w:t xml:space="preserve">¶3</w:t>
      </w:r>
      <w:r>
        <w:rPr>
          <w:lang w:val="en"/>
        </w:rPr>
        <w:t xml:space="preserve"> </w:t>
      </w:r>
      <w:r>
        <w:rPr>
          <w:lang w:val="en"/>
        </w:rPr>
        <w:t xml:space="preserve">This ordering is specific to mangrove and differs from the one in</w:t>
      </w:r>
      <w:r>
        <w:rPr>
          <w:lang w:val="en"/>
        </w:rPr>
        <w:t xml:space="preserve"> </w:t>
      </w:r>
      <w:hyperlink r:id="rId35">
        <w:r>
          <w:rPr>
            <w:rStyle w:val="Hyperlink"/>
            <w:bCs/>
            <w:b/>
            <w:lang w:val="en"/>
          </w:rPr>
          <w:t xml:space="preserve">TG-6.1 Coral Reef Ecosystem Accounting</w:t>
        </w:r>
      </w:hyperlink>
      <w:r>
        <w:rPr>
          <w:lang w:val="en"/>
        </w:rPr>
        <w:t xml:space="preserve"> </w:t>
      </w:r>
      <w:r>
        <w:rPr>
          <w:lang w:val="en"/>
        </w:rPr>
        <w:t xml:space="preserve">Section 3.2, which prefers a site-specific historical baseline. The difference is a property of the evidence available for each ecosystem, not an inconsistency: minimally disturbed mangrove stands are commonly present within a biogeographic region whilst pre-disturbance mangrove records are commonly not, and for Caribbean reef the reverse holds — there is a strong palaeoecological and historical record and no minimally disturbed contemporary analogue. Compilers should apply the ordering given for the ecosystem they are accounting for, and document which reference condition and estimation method were used (</w:t>
      </w:r>
      <w:hyperlink r:id="rId82">
        <w:r>
          <w:rPr>
            <w:rStyle w:val="Hyperlink"/>
            <w:bCs/>
            <w:b/>
            <w:lang w:val="en"/>
          </w:rPr>
          <w:t xml:space="preserve">TG-2.1 Biophysical Indicators for Ocean Accounts</w:t>
        </w:r>
      </w:hyperlink>
      <w:r>
        <w:rPr>
          <w:lang w:val="en"/>
        </w:rPr>
        <w:t xml:space="preserve"> </w:t>
      </w:r>
      <w:r>
        <w:rPr>
          <w:lang w:val="en"/>
        </w:rPr>
        <w:t xml:space="preserve">Section 3.4.2).</w:t>
      </w:r>
    </w:p>
    <w:p>
      <w:pPr>
        <w:pStyle w:val="BodyText"/>
      </w:pPr>
      <w:r>
        <w:rPr>
          <w:lang w:val="en"/>
        </w:rPr>
        <w:t xml:space="preserve">¶4</w:t>
      </w:r>
      <w:r>
        <w:rPr>
          <w:lang w:val="en"/>
        </w:rPr>
        <w:t xml:space="preserve"> </w:t>
      </w:r>
      <w:r>
        <w:rPr>
          <w:lang w:val="en"/>
        </w:rPr>
        <w:t xml:space="preserve">Condition variables are normalised using the formula defined in</w:t>
      </w:r>
      <w:r>
        <w:rPr>
          <w:lang w:val="en"/>
        </w:rPr>
        <w:t xml:space="preserve"> </w:t>
      </w:r>
      <w:hyperlink r:id="rId82">
        <w:r>
          <w:rPr>
            <w:rStyle w:val="Hyperlink"/>
            <w:bCs/>
            <w:b/>
            <w:lang w:val="en"/>
          </w:rPr>
          <w:t xml:space="preserve">TG-2.1 Biophysical Indicators for Ocean Accounts</w:t>
        </w:r>
      </w:hyperlink>
      <w:r>
        <w:rPr>
          <w:lang w:val="en"/>
        </w:rPr>
        <w:t xml:space="preserve"> </w:t>
      </w:r>
      <w:r>
        <w:rPr>
          <w:lang w:val="en"/>
        </w:rPr>
        <w:t xml:space="preserve">Section 3.4.1. Each variable must be tagged as</w:t>
      </w:r>
      <w:r>
        <w:rPr>
          <w:lang w:val="en"/>
        </w:rPr>
        <w:t xml:space="preserve"> </w:t>
      </w:r>
      <w:r>
        <w:rPr>
          <w:bCs/>
          <w:b/>
          <w:lang w:val="en"/>
        </w:rPr>
        <w:t xml:space="preserve">standard</w:t>
      </w:r>
      <w:r>
        <w:rPr>
          <w:lang w:val="en"/>
        </w:rPr>
        <w:t xml:space="preserve"> </w:t>
      </w:r>
      <w:r>
        <w:rPr>
          <w:lang w:val="en"/>
        </w:rPr>
        <w:t xml:space="preserve">or</w:t>
      </w:r>
      <w:r>
        <w:rPr>
          <w:lang w:val="en"/>
        </w:rPr>
        <w:t xml:space="preserve"> </w:t>
      </w:r>
      <w:r>
        <w:rPr>
          <w:bCs/>
          <w:b/>
          <w:lang w:val="en"/>
        </w:rPr>
        <w:t xml:space="preserve">inverse</w:t>
      </w:r>
      <w:r>
        <w:rPr>
          <w:lang w:val="en"/>
        </w:rPr>
        <w:t xml:space="preserve"> </w:t>
      </w:r>
      <w:r>
        <w:rPr>
          <w:lang w:val="en"/>
        </w:rPr>
        <w:t xml:space="preserve">direction.</w:t>
      </w:r>
    </w:p>
    <w:bookmarkStart w:id="85" w:name="sampling-design-for-condition-assessment"/>
    <w:p>
      <w:pPr>
        <w:pStyle w:val="Heading4"/>
      </w:pPr>
      <w:r>
        <w:rPr>
          <w:lang w:val="en"/>
        </w:rPr>
        <w:t xml:space="preserve">Sampling design for condition assessment</w:t>
      </w:r>
    </w:p>
    <w:p>
      <w:pPr>
        <w:pStyle w:val="FirstParagraph"/>
      </w:pPr>
      <w:hyperlink w:anchor="sampling-design-for-condition-assessment">
        <w:r>
          <w:drawing>
            <wp:inline>
              <wp:extent cx="152400" cy="152400"/>
              <wp:effectExtent b="0" l="0" r="0" t="0"/>
              <wp:docPr descr="" title="" id="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“Sampling design for condition assessment”</w:t>
        </w:r>
      </w:hyperlink>
    </w:p>
    <w:bookmarkEnd w:id="85"/>
    <w:p>
      <w:pPr>
        <w:pStyle w:val="BodyText"/>
      </w:pPr>
      <w:r>
        <w:rPr>
          <w:lang w:val="en"/>
        </w:rPr>
        <w:t xml:space="preserve">¶1</w:t>
      </w:r>
      <w:r>
        <w:rPr>
          <w:lang w:val="en"/>
        </w:rPr>
        <w:t xml:space="preserve"> </w:t>
      </w:r>
      <w:r>
        <w:rPr>
          <w:lang w:val="en"/>
        </w:rPr>
        <w:t xml:space="preserve">SEEA EA does not prescribe minimum plot density. Required documentation: number of sampling units; spatial distribution and stratification; plot dimensions; extrapolation method; and data source and collection date</w:t>
      </w:r>
      <w:hyperlink w:anchor="user-content-fn-26">
        <w:r>
          <w:rPr>
            <w:rStyle w:val="Hyperlink"/>
            <w:vertAlign w:val="superscript"/>
            <w:lang w:val="en"/>
          </w:rPr>
          <w:t xml:space="preserve">27</w:t>
        </w:r>
      </w:hyperlink>
      <w:r>
        <w:rPr>
          <w:lang w:val="en"/>
        </w:rPr>
        <w:t xml:space="preserve">.</w:t>
      </w:r>
    </w:p>
    <w:p>
      <w:pPr>
        <w:pStyle w:val="BodyText"/>
      </w:pPr>
      <w:r>
        <w:rPr>
          <w:lang w:val="en"/>
        </w:rPr>
        <w:t xml:space="preserve">¶2</w:t>
      </w:r>
      <w:r>
        <w:rPr>
          <w:lang w:val="en"/>
        </w:rPr>
        <w:t xml:space="preserve"> </w:t>
      </w:r>
      <w:r>
        <w:rPr>
          <w:lang w:val="en"/>
        </w:rPr>
        <w:t xml:space="preserve">Appropriate stratification variables include: ecosystem type and species composition; hydrological zone and inundation frequency; condition class; geomorphic setting (fringe vs. basin vs. riverine mangrove); and remote sensing-derived indicators (canopy cover, NDVI).</w:t>
      </w:r>
    </w:p>
    <w:p>
      <w:pPr>
        <w:pStyle w:val="BodyText"/>
      </w:pPr>
      <w:r>
        <w:rPr>
          <w:lang w:val="en"/>
        </w:rPr>
        <w:t xml:space="preserve">¶3</w:t>
      </w:r>
      <w:r>
        <w:rPr>
          <w:lang w:val="en"/>
        </w:rPr>
        <w:t xml:space="preserve"> </w:t>
      </w:r>
      <w:r>
        <w:rPr>
          <w:lang w:val="en"/>
        </w:rPr>
        <w:t xml:space="preserve">Tier-appropriate guidance:</w:t>
      </w:r>
    </w:p>
    <w:p>
      <w:pPr>
        <w:numPr>
          <w:ilvl w:val="0"/>
          <w:numId w:val="1006"/>
        </w:numPr>
        <w:pStyle w:val="Compact"/>
      </w:pPr>
      <w:r>
        <w:rPr>
          <w:lang w:val="en"/>
        </w:rPr>
        <w:t xml:space="preserve">¶4</w:t>
      </w:r>
      <w:r>
        <w:rPr>
          <w:lang w:val="en"/>
        </w:rPr>
        <w:t xml:space="preserve"> </w:t>
      </w:r>
      <w:r>
        <w:rPr>
          <w:bCs/>
          <w:b/>
          <w:lang w:val="en"/>
        </w:rPr>
        <w:t xml:space="preserve">Tier 1:</w:t>
      </w:r>
      <w:r>
        <w:rPr>
          <w:lang w:val="en"/>
        </w:rPr>
        <w:t xml:space="preserve"> </w:t>
      </w:r>
      <w:r>
        <w:rPr>
          <w:lang w:val="en"/>
        </w:rPr>
        <w:t xml:space="preserve">Single composite estimate from published global or regional defaults; document source, year, and ecological match to accounting area.</w:t>
      </w:r>
    </w:p>
    <w:p>
      <w:pPr>
        <w:numPr>
          <w:ilvl w:val="0"/>
          <w:numId w:val="1006"/>
        </w:numPr>
        <w:pStyle w:val="Compact"/>
      </w:pPr>
      <w:r>
        <w:rPr>
          <w:lang w:val="en"/>
        </w:rPr>
        <w:t xml:space="preserve">¶5</w:t>
      </w:r>
      <w:r>
        <w:rPr>
          <w:lang w:val="en"/>
        </w:rPr>
        <w:t xml:space="preserve"> </w:t>
      </w:r>
      <w:r>
        <w:rPr>
          <w:bCs/>
          <w:b/>
          <w:lang w:val="en"/>
        </w:rPr>
        <w:t xml:space="preserve">Tier 2:</w:t>
      </w:r>
      <w:r>
        <w:rPr>
          <w:lang w:val="en"/>
        </w:rPr>
        <w:t xml:space="preserve"> </w:t>
      </w:r>
      <w:r>
        <w:rPr>
          <w:lang w:val="en"/>
        </w:rPr>
        <w:t xml:space="preserve">2—4 satellite-derived strata, at least 3 field plots per stratum; area-weight stratum means by area.</w:t>
      </w:r>
    </w:p>
    <w:p>
      <w:pPr>
        <w:numPr>
          <w:ilvl w:val="0"/>
          <w:numId w:val="1006"/>
        </w:numPr>
        <w:pStyle w:val="Compact"/>
      </w:pPr>
      <w:r>
        <w:rPr>
          <w:lang w:val="en"/>
        </w:rPr>
        <w:t xml:space="preserve">¶6</w:t>
      </w:r>
      <w:r>
        <w:rPr>
          <w:lang w:val="en"/>
        </w:rPr>
        <w:t xml:space="preserve"> </w:t>
      </w:r>
      <w:r>
        <w:rPr>
          <w:bCs/>
          <w:b/>
          <w:lang w:val="en"/>
        </w:rPr>
        <w:t xml:space="preserve">Tier 3:</w:t>
      </w:r>
      <w:r>
        <w:rPr>
          <w:lang w:val="en"/>
        </w:rPr>
        <w:t xml:space="preserve"> </w:t>
      </w:r>
      <w:r>
        <w:rPr>
          <w:lang w:val="en"/>
        </w:rPr>
        <w:t xml:space="preserve">Howard et al. (2014) plot-level protocols with stratified random placement and replicated sediment cores. Minimum quadrat sizes: 7 m x 7 m for mangroves, 0.5 m x 0.5 m for saltmarsh.</w:t>
      </w:r>
    </w:p>
    <w:p>
      <w:pPr>
        <w:pStyle w:val="FirstParagraph"/>
      </w:pPr>
      <w:r>
        <w:rPr>
          <w:lang w:val="en"/>
        </w:rPr>
        <w:t xml:space="preserve">¶7</w:t>
      </w:r>
      <w:r>
        <w:rPr>
          <w:lang w:val="en"/>
        </w:rPr>
        <w:t xml:space="preserve"> </w:t>
      </w:r>
      <w:r>
        <w:rPr>
          <w:lang w:val="en"/>
        </w:rPr>
        <w:t xml:space="preserve">For seagrass condition assessment, see</w:t>
      </w:r>
      <w:r>
        <w:rPr>
          <w:lang w:val="en"/>
        </w:rPr>
        <w:t xml:space="preserve"> </w:t>
      </w:r>
      <w:hyperlink r:id="rId36">
        <w:r>
          <w:rPr>
            <w:rStyle w:val="Hyperlink"/>
            <w:bCs/>
            <w:b/>
            <w:lang w:val="en"/>
          </w:rPr>
          <w:t xml:space="preserve">TG-6.3 Seagrass Ecosystem Accounting</w:t>
        </w:r>
      </w:hyperlink>
      <w:r>
        <w:rPr>
          <w:lang w:val="en"/>
        </w:rPr>
        <w:t xml:space="preserve">.</w:t>
      </w:r>
    </w:p>
    <w:bookmarkStart w:id="88" w:name="carbon-stock-estimation--key-distinction"/>
    <w:p>
      <w:pPr>
        <w:pStyle w:val="Heading4"/>
      </w:pPr>
      <w:r>
        <w:rPr>
          <w:lang w:val="en"/>
        </w:rPr>
        <w:t xml:space="preserve">Carbon stock estimation — key distinction</w:t>
      </w:r>
    </w:p>
    <w:p>
      <w:pPr>
        <w:pStyle w:val="FirstParagraph"/>
      </w:pPr>
      <w:hyperlink w:anchor="carbon-stock-estimation--key-distinction">
        <w:r>
          <w:drawing>
            <wp:inline>
              <wp:extent cx="152400" cy="152400"/>
              <wp:effectExtent b="0" l="0" r="0" t="0"/>
              <wp:docPr descr="" title="" id="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stock estimation — key distinction”</w:t>
        </w:r>
      </w:hyperlink>
    </w:p>
    <w:bookmarkEnd w:id="88"/>
    <w:p>
      <w:pPr>
        <w:pStyle w:val="BodyText"/>
      </w:pPr>
      <w:r>
        <w:rPr>
          <w:lang w:val="en"/>
        </w:rPr>
        <w:t xml:space="preserve">¶1</w:t>
      </w:r>
      <w:r>
        <w:rPr>
          <w:lang w:val="en"/>
        </w:rPr>
        <w:t xml:space="preserve"> </w:t>
      </w:r>
      <w:r>
        <w:rPr>
          <w:lang w:val="en"/>
        </w:rPr>
        <w:t xml:space="preserve">Carbon stocks in the condition account are derived by measuring each pool independently (above-ground biomass, below-ground biomass, soil organic carbon) in tC/ha. The normalised condition indicator (scaled 0—1) is a descriptor for tracking and communication. It is not a multiplier against a reference stock value. A degraded ecosystem with measured SOC of 200 tC/ha against a reference of 471 tC/ha has a condition indicator of approximately 0.42, but the carbon stock entered into the account is 200 tC/ha multiplied by ecosystem area. SOC in particular degrades non-proportionally with above-ground condition: deep sediment SOC may remain largely intact even after surface biomass removal</w:t>
      </w:r>
      <w:hyperlink w:anchor="user-content-fn-27">
        <w:r>
          <w:rPr>
            <w:rStyle w:val="Hyperlink"/>
            <w:vertAlign w:val="superscript"/>
            <w:lang w:val="en"/>
          </w:rPr>
          <w:t xml:space="preserve">28</w:t>
        </w:r>
      </w:hyperlink>
      <w:r>
        <w:rPr>
          <w:lang w:val="en"/>
        </w:rPr>
        <w:t xml:space="preserve">.</w:t>
      </w:r>
    </w:p>
    <w:bookmarkStart w:id="91" w:name="condition-account-structure"/>
    <w:p>
      <w:pPr>
        <w:pStyle w:val="Heading4"/>
      </w:pPr>
      <w:r>
        <w:rPr>
          <w:lang w:val="en"/>
        </w:rPr>
        <w:t xml:space="preserve">Condition account structure</w:t>
      </w:r>
    </w:p>
    <w:p>
      <w:pPr>
        <w:pStyle w:val="FirstParagraph"/>
      </w:pPr>
      <w:hyperlink w:anchor="condition-account-structure">
        <w:r>
          <w:drawing>
            <wp:inline>
              <wp:extent cx="152400" cy="152400"/>
              <wp:effectExtent b="0" l="0" r="0" t="0"/>
              <wp:docPr descr="" title="" id="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“Condition account structure”</w:t>
        </w:r>
      </w:hyperlink>
    </w:p>
    <w:bookmarkEnd w:id="91"/>
    <w:p>
      <w:pPr>
        <w:pStyle w:val="BodyText"/>
      </w:pPr>
      <w:r>
        <w:rPr>
          <w:lang w:val="en"/>
        </w:rPr>
        <w:t xml:space="preserve">¶1</w:t>
      </w:r>
      <w:r>
        <w:rPr>
          <w:lang w:val="en"/>
        </w:rPr>
        <w:t xml:space="preserve"> </w:t>
      </w:r>
      <w:r>
        <w:rPr>
          <w:lang w:val="en"/>
        </w:rPr>
        <w:t xml:space="preserve">The table below follows the SEEA EA condition variable account structure</w:t>
      </w:r>
      <w:hyperlink w:anchor="user-content-fn-84">
        <w:r>
          <w:rPr>
            <w:rStyle w:val="Hyperlink"/>
            <w:vertAlign w:val="superscript"/>
            <w:lang w:val="en"/>
          </w:rPr>
          <w:t xml:space="preserve">29</w:t>
        </w:r>
      </w:hyperlink>
      <w:r>
        <w:rPr>
          <w:lang w:val="en"/>
        </w:rPr>
        <w:t xml:space="preserv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SEEA ECT Class</w:t>
            </w:r>
          </w:p>
        </w:tc>
        <w:tc>
          <w:tcPr/>
          <w:p>
            <w:pPr>
              <w:pStyle w:val="Compact"/>
              <w:jc w:val="left"/>
            </w:pPr>
            <w:r>
              <w:rPr>
                <w:lang w:val="en"/>
              </w:rPr>
              <w:t xml:space="preserve">Variable</w:t>
            </w:r>
          </w:p>
        </w:tc>
        <w:tc>
          <w:tcPr/>
          <w:p>
            <w:pPr>
              <w:pStyle w:val="Compact"/>
              <w:jc w:val="left"/>
            </w:pPr>
            <w:r>
              <w:rPr>
                <w:lang w:val="en"/>
              </w:rPr>
              <w:t xml:space="preserve">Unit</w:t>
            </w:r>
          </w:p>
        </w:tc>
        <w:tc>
          <w:tcPr/>
          <w:p>
            <w:pPr>
              <w:pStyle w:val="Compact"/>
              <w:jc w:val="left"/>
            </w:pPr>
            <w:r>
              <w:rPr>
                <w:lang w:val="en"/>
              </w:rPr>
              <w:t xml:space="preserve">Reference Level</w:t>
            </w:r>
          </w:p>
        </w:tc>
        <w:tc>
          <w:tcPr/>
          <w:p>
            <w:pPr>
              <w:pStyle w:val="Compact"/>
              <w:jc w:val="left"/>
            </w:pPr>
            <w:r>
              <w:rPr>
                <w:lang w:val="en"/>
              </w:rPr>
              <w:t xml:space="preserve">Opening Value</w:t>
            </w:r>
          </w:p>
        </w:tc>
        <w:tc>
          <w:tcPr/>
          <w:p>
            <w:pPr>
              <w:pStyle w:val="Compact"/>
              <w:jc w:val="left"/>
            </w:pPr>
            <w:r>
              <w:rPr>
                <w:lang w:val="en"/>
              </w:rPr>
              <w:t xml:space="preserve">Closing Value</w:t>
            </w:r>
          </w:p>
        </w:tc>
        <w:tc>
          <w:tcPr/>
          <w:p>
            <w:pPr>
              <w:pStyle w:val="Compact"/>
              <w:jc w:val="left"/>
            </w:pPr>
            <w:r>
              <w:rPr>
                <w:lang w:val="en"/>
              </w:rPr>
              <w:t xml:space="preserve">Change</w:t>
            </w:r>
          </w:p>
        </w:tc>
      </w:tr>
      <w:tr>
        <w:tc>
          <w:tcPr/>
          <w:p>
            <w:pPr>
              <w:pStyle w:val="Compact"/>
              <w:jc w:val="left"/>
            </w:pPr>
            <w:r>
              <w:rPr>
                <w:lang w:val="en"/>
              </w:rPr>
              <w:t xml:space="preserve">Physical state</w:t>
            </w:r>
          </w:p>
        </w:tc>
        <w:tc>
          <w:tcPr/>
          <w:p>
            <w:pPr>
              <w:pStyle w:val="Compact"/>
              <w:jc w:val="left"/>
            </w:pPr>
            <w:r>
              <w:rPr>
                <w:lang w:val="en"/>
              </w:rPr>
              <w:t xml:space="preserve">Tidal range ratio</w:t>
            </w:r>
          </w:p>
        </w:tc>
        <w:tc>
          <w:tcPr/>
          <w:p>
            <w:pPr>
              <w:pStyle w:val="Compact"/>
              <w:jc w:val="left"/>
            </w:pPr>
            <w:r>
              <w:rPr>
                <w:lang w:val="en"/>
              </w:rPr>
              <w:t xml:space="preserve">% of reference</w:t>
            </w:r>
          </w:p>
        </w:tc>
        <w:tc>
          <w:tcPr/>
          <w:p>
            <w:pPr>
              <w:pStyle w:val="Compact"/>
              <w:jc w:val="left"/>
            </w:pPr>
            <w:r>
              <w:rPr>
                <w:lang w:val="en"/>
              </w:rPr>
              <w:t xml:space="preserve">100%</w:t>
            </w:r>
          </w:p>
        </w:tc>
        <w:tc>
          <w:tcPr/>
          <w:p>
            <w:pPr>
              <w:pStyle w:val="Compact"/>
            </w:pPr>
          </w:p>
        </w:tc>
        <w:tc>
          <w:tcPr/>
          <w:p>
            <w:pPr>
              <w:pStyle w:val="Compact"/>
            </w:pPr>
          </w:p>
        </w:tc>
        <w:tc>
          <w:tcPr/>
          <w:p>
            <w:pPr>
              <w:pStyle w:val="Compact"/>
            </w:pPr>
          </w:p>
        </w:tc>
      </w:tr>
      <w:tr>
        <w:tc>
          <w:tcPr/>
          <w:p>
            <w:pPr>
              <w:pStyle w:val="Compact"/>
              <w:jc w:val="left"/>
            </w:pPr>
            <w:r>
              <w:rPr>
                <w:lang w:val="en"/>
              </w:rPr>
              <w:t xml:space="preserve">Chemical state</w:t>
            </w:r>
          </w:p>
        </w:tc>
        <w:tc>
          <w:tcPr/>
          <w:p>
            <w:pPr>
              <w:pStyle w:val="Compact"/>
              <w:jc w:val="left"/>
            </w:pPr>
            <w:r>
              <w:rPr>
                <w:lang w:val="en"/>
              </w:rPr>
              <w:t xml:space="preserve">Porewater salinity</w:t>
            </w:r>
          </w:p>
        </w:tc>
        <w:tc>
          <w:tcPr/>
          <w:p>
            <w:pPr>
              <w:pStyle w:val="Compact"/>
              <w:jc w:val="left"/>
            </w:pPr>
            <w:r>
              <w:rPr>
                <w:lang w:val="en"/>
              </w:rPr>
              <w:t xml:space="preserve">ppt</w:t>
            </w:r>
          </w:p>
        </w:tc>
        <w:tc>
          <w:tcPr/>
          <w:p>
            <w:pPr>
              <w:pStyle w:val="Compact"/>
              <w:jc w:val="left"/>
            </w:pPr>
            <w:r>
              <w:rPr>
                <w:lang w:val="en"/>
              </w:rPr>
              <w:t xml:space="preserve">Site-specific</w:t>
            </w:r>
          </w:p>
        </w:tc>
        <w:tc>
          <w:tcPr/>
          <w:p>
            <w:pPr>
              <w:pStyle w:val="Compact"/>
            </w:pPr>
          </w:p>
        </w:tc>
        <w:tc>
          <w:tcPr/>
          <w:p>
            <w:pPr>
              <w:pStyle w:val="Compact"/>
            </w:pPr>
          </w:p>
        </w:tc>
        <w:tc>
          <w:tcPr/>
          <w:p>
            <w:pPr>
              <w:pStyle w:val="Compact"/>
            </w:pPr>
          </w:p>
        </w:tc>
      </w:tr>
      <w:tr>
        <w:tc>
          <w:tcPr/>
          <w:p>
            <w:pPr>
              <w:pStyle w:val="Compact"/>
              <w:jc w:val="left"/>
            </w:pPr>
            <w:r>
              <w:rPr>
                <w:lang w:val="en"/>
              </w:rPr>
              <w:t xml:space="preserve">Compositional state</w:t>
            </w:r>
          </w:p>
        </w:tc>
        <w:tc>
          <w:tcPr/>
          <w:p>
            <w:pPr>
              <w:pStyle w:val="Compact"/>
              <w:jc w:val="left"/>
            </w:pPr>
            <w:r>
              <w:rPr>
                <w:lang w:val="en"/>
              </w:rPr>
              <w:t xml:space="preserve">Species richness</w:t>
            </w:r>
          </w:p>
        </w:tc>
        <w:tc>
          <w:tcPr/>
          <w:p>
            <w:pPr>
              <w:pStyle w:val="Compact"/>
              <w:jc w:val="left"/>
            </w:pPr>
            <w:r>
              <w:rPr>
                <w:lang w:val="en"/>
              </w:rPr>
              <w:t xml:space="preserve">count</w:t>
            </w:r>
          </w:p>
        </w:tc>
        <w:tc>
          <w:tcPr/>
          <w:p>
            <w:pPr>
              <w:pStyle w:val="Compact"/>
              <w:jc w:val="left"/>
            </w:pPr>
            <w:r>
              <w:rPr>
                <w:lang w:val="en"/>
              </w:rPr>
              <w:t xml:space="preserve">Pre-disturbance</w:t>
            </w:r>
          </w:p>
        </w:tc>
        <w:tc>
          <w:tcPr/>
          <w:p>
            <w:pPr>
              <w:pStyle w:val="Compact"/>
            </w:pPr>
          </w:p>
        </w:tc>
        <w:tc>
          <w:tcPr/>
          <w:p>
            <w:pPr>
              <w:pStyle w:val="Compact"/>
            </w:pPr>
          </w:p>
        </w:tc>
        <w:tc>
          <w:tcPr/>
          <w:p>
            <w:pPr>
              <w:pStyle w:val="Compact"/>
            </w:pPr>
          </w:p>
        </w:tc>
      </w:tr>
      <w:tr>
        <w:tc>
          <w:tcPr/>
          <w:p>
            <w:pPr>
              <w:pStyle w:val="Compact"/>
              <w:jc w:val="left"/>
            </w:pPr>
            <w:r>
              <w:rPr>
                <w:lang w:val="en"/>
              </w:rPr>
              <w:t xml:space="preserve">Structural state</w:t>
            </w:r>
          </w:p>
        </w:tc>
        <w:tc>
          <w:tcPr/>
          <w:p>
            <w:pPr>
              <w:pStyle w:val="Compact"/>
              <w:jc w:val="left"/>
            </w:pPr>
            <w:r>
              <w:rPr>
                <w:lang w:val="en"/>
              </w:rPr>
              <w:t xml:space="preserve">Canopy cover</w:t>
            </w:r>
          </w:p>
        </w:tc>
        <w:tc>
          <w:tcPr/>
          <w:p>
            <w:pPr>
              <w:pStyle w:val="Compact"/>
              <w:jc w:val="left"/>
            </w:pPr>
            <w:r>
              <w:rPr>
                <w:lang w:val="en"/>
              </w:rPr>
              <w:t xml:space="preserve">%</w:t>
            </w:r>
          </w:p>
        </w:tc>
        <w:tc>
          <w:tcPr/>
          <w:p>
            <w:pPr>
              <w:pStyle w:val="Compact"/>
              <w:jc w:val="left"/>
            </w:pPr>
            <w:r>
              <w:rPr>
                <w:lang w:val="en"/>
              </w:rPr>
              <w:t xml:space="preserve">Reference site</w:t>
            </w:r>
          </w:p>
        </w:tc>
        <w:tc>
          <w:tcPr/>
          <w:p>
            <w:pPr>
              <w:pStyle w:val="Compact"/>
            </w:pPr>
          </w:p>
        </w:tc>
        <w:tc>
          <w:tcPr/>
          <w:p>
            <w:pPr>
              <w:pStyle w:val="Compact"/>
            </w:pPr>
          </w:p>
        </w:tc>
        <w:tc>
          <w:tcPr/>
          <w:p>
            <w:pPr>
              <w:pStyle w:val="Compact"/>
            </w:pPr>
          </w:p>
        </w:tc>
      </w:tr>
      <w:tr>
        <w:tc>
          <w:tcPr/>
          <w:p>
            <w:pPr>
              <w:pStyle w:val="Compact"/>
              <w:jc w:val="left"/>
            </w:pPr>
            <w:r>
              <w:rPr>
                <w:lang w:val="en"/>
              </w:rPr>
              <w:t xml:space="preserve">Structural state</w:t>
            </w:r>
          </w:p>
        </w:tc>
        <w:tc>
          <w:tcPr/>
          <w:p>
            <w:pPr>
              <w:pStyle w:val="Compact"/>
              <w:jc w:val="left"/>
            </w:pPr>
            <w:r>
              <w:rPr>
                <w:lang w:val="en"/>
              </w:rPr>
              <w:t xml:space="preserve">Above-ground biomass</w:t>
            </w:r>
          </w:p>
        </w:tc>
        <w:tc>
          <w:tcPr/>
          <w:p>
            <w:pPr>
              <w:pStyle w:val="Compact"/>
              <w:jc w:val="left"/>
            </w:pPr>
            <w:r>
              <w:rPr>
                <w:lang w:val="en"/>
              </w:rPr>
              <w:t xml:space="preserve">t C/ha</w:t>
            </w:r>
          </w:p>
        </w:tc>
        <w:tc>
          <w:tcPr/>
          <w:p>
            <w:pPr>
              <w:pStyle w:val="Compact"/>
              <w:jc w:val="left"/>
            </w:pPr>
            <w:r>
              <w:rPr>
                <w:lang w:val="en"/>
              </w:rPr>
              <w:t xml:space="preserve">Reference site</w:t>
            </w:r>
          </w:p>
        </w:tc>
        <w:tc>
          <w:tcPr/>
          <w:p>
            <w:pPr>
              <w:pStyle w:val="Compact"/>
            </w:pPr>
          </w:p>
        </w:tc>
        <w:tc>
          <w:tcPr/>
          <w:p>
            <w:pPr>
              <w:pStyle w:val="Compact"/>
            </w:pPr>
          </w:p>
        </w:tc>
        <w:tc>
          <w:tcPr/>
          <w:p>
            <w:pPr>
              <w:pStyle w:val="Compact"/>
            </w:pPr>
          </w:p>
        </w:tc>
      </w:tr>
      <w:tr>
        <w:tc>
          <w:tcPr/>
          <w:p>
            <w:pPr>
              <w:pStyle w:val="Compact"/>
              <w:jc w:val="left"/>
            </w:pPr>
            <w:r>
              <w:rPr>
                <w:lang w:val="en"/>
              </w:rPr>
              <w:t xml:space="preserve">Functional state</w:t>
            </w:r>
          </w:p>
        </w:tc>
        <w:tc>
          <w:tcPr/>
          <w:p>
            <w:pPr>
              <w:pStyle w:val="Compact"/>
              <w:jc w:val="left"/>
            </w:pPr>
            <w:r>
              <w:rPr>
                <w:lang w:val="en"/>
              </w:rPr>
              <w:t xml:space="preserve">Net Primary Productivity</w:t>
            </w:r>
          </w:p>
        </w:tc>
        <w:tc>
          <w:tcPr/>
          <w:p>
            <w:pPr>
              <w:pStyle w:val="Compact"/>
              <w:jc w:val="left"/>
            </w:pPr>
            <w:r>
              <w:rPr>
                <w:lang w:val="en"/>
              </w:rPr>
              <w:t xml:space="preserve">t C/ha/yr</w:t>
            </w:r>
          </w:p>
        </w:tc>
        <w:tc>
          <w:tcPr/>
          <w:p>
            <w:pPr>
              <w:pStyle w:val="Compact"/>
              <w:jc w:val="left"/>
            </w:pPr>
            <w:r>
              <w:rPr>
                <w:lang w:val="en"/>
              </w:rPr>
              <w:t xml:space="preserve">Historical mean</w:t>
            </w:r>
          </w:p>
        </w:tc>
        <w:tc>
          <w:tcPr/>
          <w:p>
            <w:pPr>
              <w:pStyle w:val="Compact"/>
            </w:pPr>
          </w:p>
        </w:tc>
        <w:tc>
          <w:tcPr/>
          <w:p>
            <w:pPr>
              <w:pStyle w:val="Compact"/>
            </w:pPr>
          </w:p>
        </w:tc>
        <w:tc>
          <w:tcPr/>
          <w:p>
            <w:pPr>
              <w:pStyle w:val="Compact"/>
            </w:pPr>
          </w:p>
        </w:tc>
      </w:tr>
      <w:tr>
        <w:tc>
          <w:tcPr/>
          <w:p>
            <w:pPr>
              <w:pStyle w:val="Compact"/>
              <w:jc w:val="left"/>
            </w:pPr>
            <w:r>
              <w:rPr>
                <w:lang w:val="en"/>
              </w:rPr>
              <w:t xml:space="preserve">Landscape</w:t>
            </w:r>
          </w:p>
        </w:tc>
        <w:tc>
          <w:tcPr/>
          <w:p>
            <w:pPr>
              <w:pStyle w:val="Compact"/>
              <w:jc w:val="left"/>
            </w:pPr>
            <w:r>
              <w:rPr>
                <w:lang w:val="en"/>
              </w:rPr>
              <w:t xml:space="preserve">Hydrological connectivity index</w:t>
            </w:r>
          </w:p>
        </w:tc>
        <w:tc>
          <w:tcPr/>
          <w:p>
            <w:pPr>
              <w:pStyle w:val="Compact"/>
              <w:jc w:val="left"/>
            </w:pPr>
            <w:r>
              <w:rPr>
                <w:lang w:val="en"/>
              </w:rPr>
              <w:t xml:space="preserve">0-1</w:t>
            </w:r>
          </w:p>
        </w:tc>
        <w:tc>
          <w:tcPr/>
          <w:p>
            <w:pPr>
              <w:pStyle w:val="Compact"/>
              <w:jc w:val="left"/>
            </w:pPr>
            <w:r>
              <w:rPr>
                <w:lang w:val="en"/>
              </w:rPr>
              <w:t xml:space="preserve">1.0 (fully connected)</w:t>
            </w:r>
          </w:p>
        </w:tc>
        <w:tc>
          <w:tcPr/>
          <w:p>
            <w:pPr>
              <w:pStyle w:val="Compact"/>
            </w:pPr>
          </w:p>
        </w:tc>
        <w:tc>
          <w:tcPr/>
          <w:p>
            <w:pPr>
              <w:pStyle w:val="Compact"/>
            </w:pPr>
          </w:p>
        </w:tc>
        <w:tc>
          <w:tcPr/>
          <w:p>
            <w:pPr>
              <w:pStyle w:val="Compact"/>
            </w:pPr>
          </w:p>
        </w:tc>
      </w:tr>
    </w:tbl>
    <w:bookmarkStart w:id="94" w:name="X131bfe70d6fb536f452a50c1316e48400fe7dc8"/>
    <w:p>
      <w:pPr>
        <w:pStyle w:val="Heading3"/>
      </w:pPr>
      <w:r>
        <w:rPr>
          <w:lang w:val="en"/>
        </w:rPr>
        <w:t xml:space="preserve">3.3</w:t>
      </w:r>
      <w:r>
        <w:rPr>
          <w:lang w:val="en"/>
        </w:rPr>
        <w:t xml:space="preserve"> </w:t>
      </w:r>
      <w:r>
        <w:rPr>
          <w:lang w:val="en"/>
        </w:rPr>
        <w:t xml:space="preserve">Blue Carbon Services</w:t>
      </w:r>
    </w:p>
    <w:p>
      <w:pPr>
        <w:pStyle w:val="FirstParagraph"/>
      </w:pPr>
      <w:hyperlink w:anchor="X131bfe70d6fb536f452a50c1316e48400fe7dc8">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Blue Carbon Services”</w:t>
        </w:r>
      </w:hyperlink>
    </w:p>
    <w:bookmarkEnd w:id="94"/>
    <w:p>
      <w:pPr>
        <w:pStyle w:val="BodyText"/>
      </w:pPr>
      <w:r>
        <w:rPr>
          <w:lang w:val="en"/>
        </w:rPr>
        <w:t xml:space="preserve">¶1</w:t>
      </w:r>
      <w:r>
        <w:rPr>
          <w:lang w:val="en"/>
        </w:rPr>
        <w:t xml:space="preserve"> </w:t>
      </w:r>
      <w:r>
        <w:rPr>
          <w:lang w:val="en"/>
        </w:rPr>
        <w:t xml:space="preserve">Figure 6.2.1 maps three mangrove carbon pools to SEEA EA accounting destinations: biomass pools enter condition attributes; annual sequestration (Cseq) enters the regulating service account; carbon storage (Cstor) enters a condition attribute with a balance-sheet footnote (not yet standardised).</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96" name="Picture"/>
                  <a:graphic>
                    <a:graphicData uri="http://schemas.openxmlformats.org/drawingml/2006/picture">
                      <pic:pic>
                        <pic:nvPicPr>
                          <pic:cNvPr descr="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"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5"/>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6.2.1</w:t>
            </w:r>
            <w:r>
              <w:rPr>
                <w:lang w:val="en"/>
              </w:rPr>
              <w:t xml:space="preserve"> </w:t>
            </w:r>
            <w:r>
              <w:rPr>
                <w:lang w:val="en"/>
              </w:rPr>
              <w:t xml:space="preserve">Blue-carbon pools map to SEEA EA destinations: biomass and soil burial feed Cseq; Cstor is a condition attribute; deep sediment is supplementary. Dashed paths mark non-standardised Cstor-to-condition link and &gt;1 m durable store.</w:t>
            </w:r>
            <w:r>
              <w:rPr>
                <w:lang w:val="en"/>
              </w:rPr>
              <w:t xml:space="preserve"> </w:t>
            </w:r>
            <w:r>
              <w:rPr>
                <w:lang w:val="en"/>
              </w:rPr>
              <w:t xml:space="preserve">Source:</w:t>
            </w:r>
            <w:r>
              <w:rPr>
                <w:lang w:val="en"/>
              </w:rPr>
              <w:t xml:space="preserve"> </w:t>
            </w:r>
            <w:r>
              <w:rPr>
                <w:lang w:val="en"/>
              </w:rPr>
              <w:t xml:space="preserve">SEEA EA 2024, §§10.20-10.40 (ecosystem condition accounting); TG-6.2 draft, Section 3.3 (Blue Carbon Services) and the net sequestration identity (NECB = biomass increment + net soil burial).</w:t>
            </w:r>
            <w:r>
              <w:rPr>
                <w:lang w:val="en"/>
              </w:rPr>
              <w:t xml:space="preserve"> </w:t>
            </w:r>
            <w:r>
              <w:rPr>
                <w:lang w:val="en"/>
              </w:rPr>
              <w:t xml:space="preserve">Adapted from:</w:t>
            </w:r>
            <w:r>
              <w:rPr>
                <w:lang w:val="en"/>
              </w:rPr>
              <w:t xml:space="preserve"> </w:t>
            </w:r>
            <w:r>
              <w:rPr>
                <w:lang w:val="en"/>
              </w:rPr>
              <w:t xml:space="preserve">SEEA EA 2024 Figure 10.1 (ecosystem condition account structure), with GOAP extensions for blue carbon pool disaggregation, Cseq/Cstor derivation paths, soil burial routing, and the &gt;1 m durable-store supplementary item.</w:t>
            </w:r>
          </w:p>
        </w:tc>
      </w:tr>
    </w:tbl>
    <w:bookmarkStart w:id="100" w:name="X5ff3f95478d38102a2824f8bdcb191a9ea7b42a"/>
    <w:p>
      <w:pPr>
        <w:pStyle w:val="Heading4"/>
      </w:pPr>
      <w:r>
        <w:rPr>
          <w:lang w:val="en"/>
        </w:rPr>
        <w:t xml:space="preserve">Conceptual distinction: carbon stocks and carbon flows</w:t>
      </w:r>
    </w:p>
    <w:p>
      <w:pPr>
        <w:pStyle w:val="FirstParagraph"/>
      </w:pPr>
      <w:hyperlink w:anchor="X5ff3f95478d38102a2824f8bdcb191a9ea7b42a">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“Conceptual distinction: carbon stocks and carbon flows”</w:t>
        </w:r>
      </w:hyperlink>
    </w:p>
    <w:bookmarkEnd w:id="100"/>
    <w:p>
      <w:pPr>
        <w:pStyle w:val="BodyText"/>
      </w:pPr>
      <w:r>
        <w:rPr>
          <w:lang w:val="en"/>
        </w:rPr>
        <w:t xml:space="preserve">¶1</w:t>
      </w:r>
      <w:r>
        <w:rPr>
          <w:lang w:val="en"/>
        </w:rPr>
        <w:t xml:space="preserve"> </w:t>
      </w:r>
      <w:r>
        <w:rPr>
          <w:lang w:val="en"/>
        </w:rPr>
        <w:t xml:space="preserve">A</w:t>
      </w:r>
      <w:r>
        <w:rPr>
          <w:lang w:val="en"/>
        </w:rPr>
        <w:t xml:space="preserve"> </w:t>
      </w:r>
      <w:r>
        <w:rPr>
          <w:iCs/>
          <w:i/>
          <w:lang w:val="en"/>
        </w:rPr>
        <w:t xml:space="preserve">carbon stock</w:t>
      </w:r>
      <w:r>
        <w:rPr>
          <w:lang w:val="en"/>
        </w:rPr>
        <w:t xml:space="preserve"> </w:t>
      </w:r>
      <w:r>
        <w:rPr>
          <w:lang w:val="en"/>
        </w:rPr>
        <w:t xml:space="preserve">is the mass of carbon held in an ecosystem at a point in time (tC or tCO2e), a state variable in the condition account. A</w:t>
      </w:r>
      <w:r>
        <w:rPr>
          <w:lang w:val="en"/>
        </w:rPr>
        <w:t xml:space="preserve"> </w:t>
      </w:r>
      <w:r>
        <w:rPr>
          <w:iCs/>
          <w:i/>
          <w:lang w:val="en"/>
        </w:rPr>
        <w:t xml:space="preserve">carbon flow</w:t>
      </w:r>
      <w:r>
        <w:rPr>
          <w:lang w:val="en"/>
        </w:rPr>
        <w:t xml:space="preserve"> </w:t>
      </w:r>
      <w:r>
        <w:rPr>
          <w:lang w:val="en"/>
        </w:rPr>
        <w:t xml:space="preserve">is the rate of carbon movement between ecosystem and atmosphere over a defined period (tCO2e/yr), a change variable in the ecosystem services flow account. Conflating stock and flow produces results that cannot be compared across countries or time periods</w:t>
      </w:r>
      <w:hyperlink w:anchor="user-content-fn-28">
        <w:r>
          <w:rPr>
            <w:rStyle w:val="Hyperlink"/>
            <w:vertAlign w:val="superscript"/>
            <w:lang w:val="en"/>
          </w:rPr>
          <w:t xml:space="preserve">30</w:t>
        </w:r>
      </w:hyperlink>
      <w:r>
        <w:rPr>
          <w:lang w:val="en"/>
        </w:rPr>
        <w:t xml:space="preserve">.</w:t>
      </w:r>
    </w:p>
    <w:p>
      <w:pPr>
        <w:pStyle w:val="BodyText"/>
      </w:pPr>
      <w:r>
        <w:rPr>
          <w:lang w:val="en"/>
        </w:rPr>
        <w:t xml:space="preserve">¶2</w:t>
      </w:r>
      <w:r>
        <w:rPr>
          <w:lang w:val="en"/>
        </w:rPr>
        <w:t xml:space="preserve"> </w:t>
      </w:r>
      <w:r>
        <w:rPr>
          <w:lang w:val="en"/>
        </w:rPr>
        <w:t xml:space="preserve">Physical accounts must be compiled before monetary accounts. The recommended sequence is: (1) extent account; (2) condition account (carbon stocks per pool); (3) services flow account, physical; (4) services flow account, monetary.</w:t>
      </w:r>
    </w:p>
    <w:bookmarkStart w:id="103" w:name="ipcc-wetlands-supplement-tier-framework"/>
    <w:p>
      <w:pPr>
        <w:pStyle w:val="Heading4"/>
      </w:pPr>
      <w:r>
        <w:rPr>
          <w:lang w:val="en"/>
        </w:rPr>
        <w:t xml:space="preserve">IPCC Wetlands Supplement tier framework</w:t>
      </w:r>
    </w:p>
    <w:p>
      <w:pPr>
        <w:pStyle w:val="FirstParagraph"/>
      </w:pPr>
      <w:hyperlink w:anchor="ipcc-wetlands-supplement-tier-framework">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“IPCC Wetlands Supplement tier framework”</w:t>
        </w:r>
      </w:hyperlink>
    </w:p>
    <w:bookmarkEnd w:id="103"/>
    <w:p>
      <w:pPr>
        <w:pStyle w:val="BodyText"/>
      </w:pPr>
      <w:r>
        <w:rPr>
          <w:lang w:val="en"/>
        </w:rPr>
        <w:t xml:space="preserve">¶1</w:t>
      </w:r>
      <w:r>
        <w:rPr>
          <w:lang w:val="en"/>
        </w:rPr>
        <w:t xml:space="preserve"> </w:t>
      </w:r>
      <w:r>
        <w:rPr>
          <w:lang w:val="en"/>
        </w:rPr>
        <w:t xml:space="preserve">The primary reference for blue carbon accounting is the</w:t>
      </w:r>
      <w:r>
        <w:rPr>
          <w:lang w:val="en"/>
        </w:rPr>
        <w:t xml:space="preserve"> </w:t>
      </w:r>
      <w:r>
        <w:rPr>
          <w:iCs/>
          <w:i/>
          <w:lang w:val="en"/>
        </w:rPr>
        <w:t xml:space="preserve">2013 Supplement to the 2006 IPCC Guidelines: Wetlands</w:t>
      </w:r>
      <w:r>
        <w:rPr>
          <w:lang w:val="en"/>
        </w:rPr>
        <w:t xml:space="preserve">, Chapter 4. Coverage by ecosystem type: mangroves (full Tier 1 across all carbon pools); tidal marshes and saltmarsh (partial Tier 1; biomass carbon stock changes require Tier 2+; soil carbon estimates carry ±50—90% uncertainty at Tier 1); seagrass (out of scope — see</w:t>
      </w:r>
      <w:r>
        <w:rPr>
          <w:lang w:val="en"/>
        </w:rPr>
        <w:t xml:space="preserve"> </w:t>
      </w:r>
      <w:hyperlink r:id="rId36">
        <w:r>
          <w:rPr>
            <w:rStyle w:val="Hyperlink"/>
            <w:bCs/>
            <w:b/>
            <w:lang w:val="en"/>
          </w:rPr>
          <w:t xml:space="preserve">TG-6.3</w:t>
        </w:r>
      </w:hyperlink>
      <w:r>
        <w:rPr>
          <w:lang w:val="en"/>
        </w:rPr>
        <w:t xml:space="preserve">); tidal flats (not covered by the Wetlands Supplement)</w:t>
      </w:r>
      <w:hyperlink w:anchor="user-content-fn-29">
        <w:r>
          <w:rPr>
            <w:rStyle w:val="Hyperlink"/>
            <w:vertAlign w:val="superscript"/>
            <w:lang w:val="en"/>
          </w:rPr>
          <w:t xml:space="preserve">31</w:t>
        </w:r>
      </w:hyperlink>
      <w:r>
        <w:rPr>
          <w:lang w:val="en"/>
        </w:rPr>
        <w:t xml:space="preserve">.</w:t>
      </w:r>
    </w:p>
    <w:p>
      <w:pPr>
        <w:pStyle w:val="BodyText"/>
      </w:pPr>
      <w:r>
        <w:rPr>
          <w:lang w:val="en"/>
        </w:rPr>
        <w:t xml:space="preserve">¶2</w:t>
      </w:r>
      <w:r>
        <w:rPr>
          <w:lang w:val="en"/>
        </w:rPr>
        <w:t xml:space="preserve"> </w:t>
      </w:r>
      <w:r>
        <w:rPr>
          <w:lang w:val="en"/>
        </w:rPr>
        <w:t xml:space="preserve">Kelp, sargassum, and other macroalgae are out of scope. Their attribution as carbon sinks remains scientifically unresolved, and no agreed IPCC accounting boundary exists.</w:t>
      </w:r>
    </w:p>
    <w:p>
      <w:pPr>
        <w:pStyle w:val="BodyText"/>
      </w:pPr>
      <w:r>
        <w:rPr>
          <w:lang w:val="en"/>
        </w:rPr>
        <w:t xml:space="preserve">¶3</w:t>
      </w:r>
      <w:r>
        <w:rPr>
          <w:lang w:val="en"/>
        </w:rPr>
        <w:t xml:space="preserve"> </w:t>
      </w:r>
      <w:r>
        <w:rPr>
          <w:lang w:val="en"/>
        </w:rPr>
        <w:t xml:space="preserve">Minimum recommended tiers by use case: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Use case</w:t>
            </w:r>
          </w:p>
        </w:tc>
        <w:tc>
          <w:tcPr/>
          <w:p>
            <w:pPr>
              <w:pStyle w:val="Compact"/>
              <w:jc w:val="left"/>
            </w:pPr>
            <w:r>
              <w:rPr>
                <w:lang w:val="en"/>
              </w:rPr>
              <w:t xml:space="preserve">Minimum tier</w:t>
            </w:r>
          </w:p>
        </w:tc>
        <w:tc>
          <w:tcPr/>
          <w:p>
            <w:pPr>
              <w:pStyle w:val="Compact"/>
              <w:jc w:val="left"/>
            </w:pPr>
            <w:r>
              <w:rPr>
                <w:lang w:val="en"/>
              </w:rPr>
              <w:t xml:space="preserve">Rationale</w:t>
            </w:r>
          </w:p>
        </w:tc>
      </w:tr>
      <w:tr>
        <w:tc>
          <w:tcPr/>
          <w:p>
            <w:pPr>
              <w:pStyle w:val="Compact"/>
              <w:jc w:val="left"/>
            </w:pPr>
            <w:r>
              <w:rPr>
                <w:lang w:val="en"/>
              </w:rPr>
              <w:t xml:space="preserve">National GHG inventory (UNFCCC reporting only)</w:t>
            </w:r>
          </w:p>
        </w:tc>
        <w:tc>
          <w:tcPr/>
          <w:p>
            <w:pPr>
              <w:pStyle w:val="Compact"/>
              <w:jc w:val="left"/>
            </w:pPr>
            <w:r>
              <w:rPr>
                <w:lang w:val="en"/>
              </w:rPr>
              <w:t xml:space="preserve">Tier 1 acceptable as starting point</w:t>
            </w:r>
          </w:p>
        </w:tc>
        <w:tc>
          <w:tcPr/>
          <w:p>
            <w:pPr>
              <w:pStyle w:val="Compact"/>
              <w:jc w:val="left"/>
            </w:pPr>
            <w:r>
              <w:rPr>
                <w:lang w:val="en"/>
              </w:rPr>
              <w:t xml:space="preserve">Permitted where coastal wetlands are not a key category</w:t>
            </w:r>
          </w:p>
        </w:tc>
      </w:tr>
      <w:tr>
        <w:tc>
          <w:tcPr/>
          <w:p>
            <w:pPr>
              <w:pStyle w:val="Compact"/>
              <w:jc w:val="left"/>
            </w:pPr>
            <w:r>
              <w:rPr>
                <w:lang w:val="en"/>
              </w:rPr>
              <w:t xml:space="preserve">NDC contribution / REDD+ / Warsaw Framework</w:t>
            </w:r>
          </w:p>
        </w:tc>
        <w:tc>
          <w:tcPr/>
          <w:p>
            <w:pPr>
              <w:pStyle w:val="Compact"/>
              <w:jc w:val="left"/>
            </w:pPr>
            <w:r>
              <w:rPr>
                <w:lang w:val="en"/>
              </w:rPr>
              <w:t xml:space="preserve">Tier 2</w:t>
            </w:r>
          </w:p>
        </w:tc>
        <w:tc>
          <w:tcPr/>
          <w:p>
            <w:pPr>
              <w:pStyle w:val="Compact"/>
              <w:jc w:val="left"/>
            </w:pPr>
            <w:r>
              <w:rPr>
                <w:lang w:val="en"/>
              </w:rPr>
              <w:t xml:space="preserve">Country-specific emission factors required</w:t>
            </w:r>
          </w:p>
        </w:tc>
      </w:tr>
      <w:tr>
        <w:tc>
          <w:tcPr/>
          <w:p>
            <w:pPr>
              <w:pStyle w:val="Compact"/>
              <w:jc w:val="left"/>
            </w:pPr>
            <w:r>
              <w:rPr>
                <w:lang w:val="en"/>
              </w:rPr>
              <w:t xml:space="preserve">Ocean account for policy planning</w:t>
            </w:r>
          </w:p>
        </w:tc>
        <w:tc>
          <w:tcPr/>
          <w:p>
            <w:pPr>
              <w:pStyle w:val="Compact"/>
              <w:jc w:val="left"/>
            </w:pPr>
            <w:r>
              <w:rPr>
                <w:lang w:val="en"/>
              </w:rPr>
              <w:t xml:space="preserve">Tier 2</w:t>
            </w:r>
          </w:p>
        </w:tc>
        <w:tc>
          <w:tcPr/>
          <w:p>
            <w:pPr>
              <w:pStyle w:val="Compact"/>
              <w:jc w:val="left"/>
            </w:pPr>
            <w:r>
              <w:rPr>
                <w:lang w:val="en"/>
              </w:rPr>
              <w:t xml:space="preserve">Physical precision required for spatial planning</w:t>
            </w:r>
          </w:p>
        </w:tc>
      </w:tr>
      <w:tr>
        <w:tc>
          <w:tcPr/>
          <w:p>
            <w:pPr>
              <w:pStyle w:val="Compact"/>
              <w:jc w:val="left"/>
            </w:pPr>
            <w:r>
              <w:rPr>
                <w:lang w:val="en"/>
              </w:rPr>
              <w:t xml:space="preserve">Carbon project accreditation (VCS/Gold Standard)</w:t>
            </w:r>
          </w:p>
        </w:tc>
        <w:tc>
          <w:tcPr/>
          <w:p>
            <w:pPr>
              <w:pStyle w:val="Compact"/>
              <w:jc w:val="left"/>
            </w:pPr>
            <w:r>
              <w:rPr>
                <w:lang w:val="en"/>
              </w:rPr>
              <w:t xml:space="preserve">Tier 3</w:t>
            </w:r>
          </w:p>
        </w:tc>
        <w:tc>
          <w:tcPr/>
          <w:p>
            <w:pPr>
              <w:pStyle w:val="Compact"/>
              <w:jc w:val="left"/>
            </w:pPr>
            <w:r>
              <w:rPr>
                <w:lang w:val="en"/>
              </w:rPr>
              <w:t xml:space="preserve">VM0033 sets this threshold explicitly</w:t>
            </w:r>
          </w:p>
        </w:tc>
      </w:tr>
      <w:tr>
        <w:tc>
          <w:tcPr/>
          <w:p>
            <w:pPr>
              <w:pStyle w:val="Compact"/>
              <w:jc w:val="left"/>
            </w:pPr>
            <w:r>
              <w:rPr>
                <w:lang w:val="en"/>
              </w:rPr>
              <w:t xml:space="preserve">Blue carbon credit issuance / financial instruments</w:t>
            </w:r>
          </w:p>
        </w:tc>
        <w:tc>
          <w:tcPr/>
          <w:p>
            <w:pPr>
              <w:pStyle w:val="Compact"/>
              <w:jc w:val="left"/>
            </w:pPr>
            <w:r>
              <w:rPr>
                <w:lang w:val="en"/>
              </w:rPr>
              <w:t xml:space="preserve">Tier 3</w:t>
            </w:r>
          </w:p>
        </w:tc>
        <w:tc>
          <w:tcPr/>
          <w:p>
            <w:pPr>
              <w:pStyle w:val="Compact"/>
              <w:jc w:val="left"/>
            </w:pPr>
            <w:r>
              <w:rPr>
                <w:lang w:val="en"/>
              </w:rPr>
              <w:t xml:space="preserve">Additionality, permanence, and leakage require site-specific baselines</w:t>
            </w:r>
          </w:p>
        </w:tc>
      </w:tr>
      <w:tr>
        <w:tc>
          <w:tcPr/>
          <w:p>
            <w:pPr>
              <w:pStyle w:val="Compact"/>
              <w:jc w:val="left"/>
            </w:pPr>
            <w:r>
              <w:rPr>
                <w:lang w:val="en"/>
              </w:rPr>
              <w:t xml:space="preserve">High-precision ecosystem service valuation</w:t>
            </w:r>
          </w:p>
        </w:tc>
        <w:tc>
          <w:tcPr/>
          <w:p>
            <w:pPr>
              <w:pStyle w:val="Compact"/>
              <w:jc w:val="left"/>
            </w:pPr>
            <w:r>
              <w:rPr>
                <w:lang w:val="en"/>
              </w:rPr>
              <w:t xml:space="preserve">Tier 3</w:t>
            </w:r>
          </w:p>
        </w:tc>
        <w:tc>
          <w:tcPr/>
          <w:p>
            <w:pPr>
              <w:pStyle w:val="Compact"/>
              <w:jc w:val="left"/>
            </w:pPr>
            <w:r>
              <w:rPr>
                <w:lang w:val="en"/>
              </w:rPr>
              <w:t xml:space="preserve">Monetary reliability depends on physical account precision</w:t>
            </w:r>
          </w:p>
        </w:tc>
      </w:tr>
    </w:tbl>
    <w:p>
      <w:pPr>
        <w:pStyle w:val="BodyText"/>
      </w:pPr>
      <w:r>
        <w:rPr>
          <w:lang w:val="en"/>
        </w:rPr>
        <w:t xml:space="preserve">¶4</w:t>
      </w:r>
      <w:r>
        <w:rPr>
          <w:lang w:val="en"/>
        </w:rPr>
        <w:t xml:space="preserve"> </w:t>
      </w:r>
      <w:r>
        <w:rPr>
          <w:lang w:val="en"/>
        </w:rPr>
        <w:t xml:space="preserve">Countries should not remain at Tier 1 for key categories. Where blue carbon ecosystems make a material contribution to national GHG balances (e.g., Indonesia, Philippines, Madagascar, Australia), Tier 2 should be the minimum for NDC and national communications submissions</w:t>
      </w:r>
      <w:hyperlink w:anchor="user-content-fn-30">
        <w:r>
          <w:rPr>
            <w:rStyle w:val="Hyperlink"/>
            <w:vertAlign w:val="superscript"/>
            <w:lang w:val="en"/>
          </w:rPr>
          <w:t xml:space="preserve">32</w:t>
        </w:r>
      </w:hyperlink>
      <w:r>
        <w:rPr>
          <w:lang w:val="en"/>
        </w:rPr>
        <w:t xml:space="preserve">.</w:t>
      </w:r>
    </w:p>
    <w:bookmarkStart w:id="106" w:name="scope-boundary-aquaculture-carbon-claims"/>
    <w:p>
      <w:pPr>
        <w:pStyle w:val="Heading4"/>
      </w:pPr>
      <w:r>
        <w:rPr>
          <w:lang w:val="en"/>
        </w:rPr>
        <w:t xml:space="preserve">Scope boundary: aquaculture carbon claims</w:t>
      </w:r>
    </w:p>
    <w:p>
      <w:pPr>
        <w:pStyle w:val="FirstParagraph"/>
      </w:pPr>
      <w:hyperlink w:anchor="scope-boundary-aquaculture-carbon-claims">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“Scope boundary: aquaculture carbon claims”</w:t>
        </w:r>
      </w:hyperlink>
    </w:p>
    <w:bookmarkEnd w:id="106"/>
    <w:p>
      <w:pPr>
        <w:pStyle w:val="BlockText"/>
      </w:pPr>
      <w:r>
        <w:rPr>
          <w:bCs/>
          <w:b/>
          <w:lang w:val="en"/>
        </w:rPr>
        <w:t xml:space="preserve">Note on scope</w:t>
      </w:r>
    </w:p>
    <w:p>
      <w:pPr>
        <w:pStyle w:val="BlockText"/>
      </w:pPr>
      <w:r>
        <w:rPr>
          <w:lang w:val="en"/>
        </w:rPr>
        <w:t xml:space="preserve">Bivalve aquaculture (oysters, mussels, clams) is outside scope. Animals are heterotrophs, and bivalve shell calcification (Ca2+ + 2HCO3- → CaCO3 + CO2 + H2O) produces CO2 as a by-product. Net atmospheric effects are contested. Shell formation is a metabolic process, not an ecosystem service delivered by a coastal ecosystem asset.</w:t>
      </w:r>
    </w:p>
    <w:p>
      <w:pPr>
        <w:pStyle w:val="BlockText"/>
      </w:pPr>
      <w:r>
        <w:rPr>
          <w:lang w:val="en"/>
        </w:rPr>
        <w:t xml:space="preserve">Seaweed farming is generally outside scope. In most operations, harvested biomass is consumed within months to years without durable long-term sequestration (SEEA EA para. 6.114). Emerging applications (deep-ocean sinking, biochar conversion) should be treated as experimental pending IPCC guidance</w:t>
      </w:r>
      <w:hyperlink w:anchor="user-content-fn-31">
        <w:r>
          <w:rPr>
            <w:rStyle w:val="Hyperlink"/>
            <w:vertAlign w:val="superscript"/>
            <w:lang w:val="en"/>
          </w:rPr>
          <w:t xml:space="preserve">33</w:t>
        </w:r>
      </w:hyperlink>
      <w:r>
        <w:rPr>
          <w:lang w:val="en"/>
        </w:rPr>
        <w:t xml:space="preserve">.</w:t>
      </w:r>
    </w:p>
    <w:bookmarkStart w:id="109" w:name="carbon-stock-accounting"/>
    <w:p>
      <w:pPr>
        <w:pStyle w:val="Heading4"/>
      </w:pPr>
      <w:r>
        <w:rPr>
          <w:lang w:val="en"/>
        </w:rPr>
        <w:t xml:space="preserve">Carbon stock accounting</w:t>
      </w:r>
    </w:p>
    <w:p>
      <w:pPr>
        <w:pStyle w:val="FirstParagraph"/>
      </w:pPr>
      <w:hyperlink w:anchor="carbon-stock-accounting">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stock accounting”</w:t>
        </w:r>
      </w:hyperlink>
    </w:p>
    <w:bookmarkEnd w:id="109"/>
    <w:p>
      <w:pPr>
        <w:pStyle w:val="BodyText"/>
      </w:pPr>
      <w:r>
        <w:rPr>
          <w:lang w:val="en"/>
        </w:rPr>
        <w:t xml:space="preserve">¶1</w:t>
      </w:r>
      <w:r>
        <w:rPr>
          <w:lang w:val="en"/>
        </w:rPr>
        <w:t xml:space="preserve"> </w:t>
      </w:r>
      <w:r>
        <w:rPr>
          <w:lang w:val="en"/>
        </w:rPr>
        <w:t xml:space="preserve">Mangroves and coastal wetlands store carbon in five pools requiring separate accounting</w:t>
      </w:r>
      <w:hyperlink w:anchor="user-content-fn-33">
        <w:r>
          <w:rPr>
            <w:rStyle w:val="Hyperlink"/>
            <w:vertAlign w:val="superscript"/>
            <w:lang w:val="en"/>
          </w:rPr>
          <w:t xml:space="preserve">34</w:t>
        </w:r>
      </w:hyperlink>
      <w:r>
        <w:rPr>
          <w:lang w:val="en"/>
        </w:rP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Carbon Pool</w:t>
            </w:r>
          </w:p>
        </w:tc>
        <w:tc>
          <w:tcPr/>
          <w:p>
            <w:pPr>
              <w:pStyle w:val="Compact"/>
              <w:jc w:val="left"/>
            </w:pPr>
            <w:r>
              <w:rPr>
                <w:lang w:val="en"/>
              </w:rPr>
              <w:t xml:space="preserve">Measurement Method</w:t>
            </w:r>
          </w:p>
        </w:tc>
        <w:tc>
          <w:tcPr/>
          <w:p>
            <w:pPr>
              <w:pStyle w:val="Compact"/>
              <w:jc w:val="left"/>
            </w:pPr>
            <w:r>
              <w:rPr>
                <w:lang w:val="en"/>
              </w:rPr>
              <w:t xml:space="preserve">Typical Range</w:t>
            </w:r>
          </w:p>
        </w:tc>
        <w:tc>
          <w:tcPr/>
          <w:p>
            <w:pPr>
              <w:pStyle w:val="Compact"/>
              <w:jc w:val="left"/>
            </w:pPr>
            <w:r>
              <w:rPr>
                <w:lang w:val="en"/>
              </w:rPr>
              <w:t xml:space="preserve">Accounting Treatment</w:t>
            </w:r>
          </w:p>
        </w:tc>
      </w:tr>
      <w:tr>
        <w:tc>
          <w:tcPr/>
          <w:p>
            <w:pPr>
              <w:pStyle w:val="Compact"/>
              <w:jc w:val="left"/>
            </w:pPr>
            <w:r>
              <w:rPr>
                <w:lang w:val="en"/>
              </w:rPr>
              <w:t xml:space="preserve">Above-ground biomass</w:t>
            </w:r>
          </w:p>
        </w:tc>
        <w:tc>
          <w:tcPr/>
          <w:p>
            <w:pPr>
              <w:pStyle w:val="Compact"/>
              <w:jc w:val="left"/>
            </w:pPr>
            <w:r>
              <w:rPr>
                <w:lang w:val="en"/>
              </w:rPr>
              <w:t xml:space="preserve">Allometric equations</w:t>
            </w:r>
          </w:p>
        </w:tc>
        <w:tc>
          <w:tcPr/>
          <w:p>
            <w:pPr>
              <w:pStyle w:val="Compact"/>
              <w:jc w:val="left"/>
            </w:pPr>
            <w:r>
              <w:rPr>
                <w:lang w:val="en"/>
              </w:rPr>
              <w:t xml:space="preserve">50-250 tC/ha</w:t>
            </w:r>
          </w:p>
        </w:tc>
        <w:tc>
          <w:tcPr/>
          <w:p>
            <w:pPr>
              <w:pStyle w:val="Compact"/>
              <w:jc w:val="left"/>
            </w:pPr>
            <w:r>
              <w:rPr>
                <w:lang w:val="en"/>
              </w:rPr>
              <w:t xml:space="preserve">Condition account (stock)</w:t>
            </w:r>
          </w:p>
        </w:tc>
      </w:tr>
      <w:tr>
        <w:tc>
          <w:tcPr/>
          <w:p>
            <w:pPr>
              <w:pStyle w:val="Compact"/>
              <w:jc w:val="left"/>
            </w:pPr>
            <w:r>
              <w:rPr>
                <w:lang w:val="en"/>
              </w:rPr>
              <w:t xml:space="preserve">Below-ground biomass</w:t>
            </w:r>
          </w:p>
        </w:tc>
        <w:tc>
          <w:tcPr/>
          <w:p>
            <w:pPr>
              <w:pStyle w:val="Compact"/>
              <w:jc w:val="left"/>
            </w:pPr>
            <w:r>
              <w:rPr>
                <w:lang w:val="en"/>
              </w:rPr>
              <w:t xml:space="preserve">Root:shoot ratios or allometry</w:t>
            </w:r>
          </w:p>
        </w:tc>
        <w:tc>
          <w:tcPr/>
          <w:p>
            <w:pPr>
              <w:pStyle w:val="Compact"/>
              <w:jc w:val="left"/>
            </w:pPr>
            <w:r>
              <w:rPr>
                <w:lang w:val="en"/>
              </w:rPr>
              <w:t xml:space="preserve">30-150 tC/ha</w:t>
            </w:r>
          </w:p>
        </w:tc>
        <w:tc>
          <w:tcPr/>
          <w:p>
            <w:pPr>
              <w:pStyle w:val="Compact"/>
              <w:jc w:val="left"/>
            </w:pPr>
            <w:r>
              <w:rPr>
                <w:lang w:val="en"/>
              </w:rPr>
              <w:t xml:space="preserve">Condition account (stock)</w:t>
            </w:r>
          </w:p>
        </w:tc>
      </w:tr>
      <w:tr>
        <w:tc>
          <w:tcPr/>
          <w:p>
            <w:pPr>
              <w:pStyle w:val="Compact"/>
              <w:jc w:val="left"/>
            </w:pPr>
            <w:r>
              <w:rPr>
                <w:lang w:val="en"/>
              </w:rPr>
              <w:t xml:space="preserve">Dead wood</w:t>
            </w:r>
          </w:p>
        </w:tc>
        <w:tc>
          <w:tcPr/>
          <w:p>
            <w:pPr>
              <w:pStyle w:val="Compact"/>
              <w:jc w:val="left"/>
            </w:pPr>
            <w:r>
              <w:rPr>
                <w:lang w:val="en"/>
              </w:rPr>
              <w:t xml:space="preserve">Field measurement (volume x density)</w:t>
            </w:r>
          </w:p>
        </w:tc>
        <w:tc>
          <w:tcPr/>
          <w:p>
            <w:pPr>
              <w:pStyle w:val="Compact"/>
              <w:jc w:val="left"/>
            </w:pPr>
            <w:r>
              <w:rPr>
                <w:lang w:val="en"/>
              </w:rPr>
              <w:t xml:space="preserve">1-20 tC/ha (locally significant in disturbed forests)</w:t>
            </w:r>
          </w:p>
        </w:tc>
        <w:tc>
          <w:tcPr/>
          <w:p>
            <w:pPr>
              <w:pStyle w:val="Compact"/>
              <w:jc w:val="left"/>
            </w:pPr>
            <w:r>
              <w:rPr>
                <w:lang w:val="en"/>
              </w:rPr>
              <w:t xml:space="preserve">Condition account (stock)</w:t>
            </w:r>
          </w:p>
        </w:tc>
      </w:tr>
      <w:tr>
        <w:tc>
          <w:tcPr/>
          <w:p>
            <w:pPr>
              <w:pStyle w:val="Compact"/>
              <w:jc w:val="left"/>
            </w:pPr>
            <w:r>
              <w:rPr>
                <w:lang w:val="en"/>
              </w:rPr>
              <w:t xml:space="preserve">Litter</w:t>
            </w:r>
          </w:p>
        </w:tc>
        <w:tc>
          <w:tcPr/>
          <w:p>
            <w:pPr>
              <w:pStyle w:val="Compact"/>
              <w:jc w:val="left"/>
            </w:pPr>
            <w:r>
              <w:rPr>
                <w:lang w:val="en"/>
              </w:rPr>
              <w:t xml:space="preserve">Quadrat harvest</w:t>
            </w:r>
          </w:p>
        </w:tc>
        <w:tc>
          <w:tcPr/>
          <w:p>
            <w:pPr>
              <w:pStyle w:val="Compact"/>
              <w:jc w:val="left"/>
            </w:pPr>
            <w:r>
              <w:rPr>
                <w:lang w:val="en"/>
              </w:rPr>
              <w:t xml:space="preserve">0.5-5 tC/ha (minor)</w:t>
            </w:r>
          </w:p>
        </w:tc>
        <w:tc>
          <w:tcPr/>
          <w:p>
            <w:pPr>
              <w:pStyle w:val="Compact"/>
              <w:jc w:val="left"/>
            </w:pPr>
            <w:r>
              <w:rPr>
                <w:lang w:val="en"/>
              </w:rPr>
              <w:t xml:space="preserve">Condition account (stock)</w:t>
            </w:r>
          </w:p>
        </w:tc>
      </w:tr>
      <w:tr>
        <w:tc>
          <w:tcPr/>
          <w:p>
            <w:pPr>
              <w:pStyle w:val="Compact"/>
              <w:jc w:val="left"/>
            </w:pPr>
            <w:r>
              <w:rPr>
                <w:lang w:val="en"/>
              </w:rPr>
              <w:t xml:space="preserve">Soil organic carbon (0-1m)</w:t>
            </w:r>
          </w:p>
        </w:tc>
        <w:tc>
          <w:tcPr/>
          <w:p>
            <w:pPr>
              <w:pStyle w:val="Compact"/>
              <w:jc w:val="left"/>
            </w:pPr>
            <w:r>
              <w:rPr>
                <w:lang w:val="en"/>
              </w:rPr>
              <w:t xml:space="preserve">Core sampling</w:t>
            </w:r>
          </w:p>
        </w:tc>
        <w:tc>
          <w:tcPr/>
          <w:p>
            <w:pPr>
              <w:pStyle w:val="Compact"/>
              <w:jc w:val="left"/>
            </w:pPr>
            <w:r>
              <w:rPr>
                <w:lang w:val="en"/>
              </w:rPr>
              <w:t xml:space="preserve">200-1000 tC/ha</w:t>
            </w:r>
          </w:p>
        </w:tc>
        <w:tc>
          <w:tcPr/>
          <w:p>
            <w:pPr>
              <w:pStyle w:val="Compact"/>
              <w:jc w:val="left"/>
            </w:pPr>
            <w:r>
              <w:rPr>
                <w:lang w:val="en"/>
              </w:rPr>
              <w:t xml:space="preserve">Condition account (stock)</w:t>
            </w:r>
          </w:p>
        </w:tc>
      </w:tr>
    </w:tbl>
    <w:p>
      <w:pPr>
        <w:pStyle w:val="BodyText"/>
      </w:pPr>
      <w:r>
        <w:rPr>
          <w:lang w:val="en"/>
        </w:rPr>
        <w:t xml:space="preserve">¶2</w:t>
      </w:r>
      <w:r>
        <w:rPr>
          <w:lang w:val="en"/>
        </w:rPr>
        <w:t xml:space="preserve"> </w:t>
      </w:r>
      <w:r>
        <w:rPr>
          <w:bCs/>
          <w:b/>
          <w:lang w:val="en"/>
        </w:rPr>
        <w:t xml:space="preserve">Above-ground biomass:</w:t>
      </w:r>
      <w:r>
        <w:rPr>
          <w:lang w:val="en"/>
        </w:rPr>
        <w:t xml:space="preserve"> </w:t>
      </w:r>
      <w:r>
        <w:rPr>
          <w:lang w:val="en"/>
        </w:rPr>
        <w:t xml:space="preserve">Carbon content typically estimated at 45—50% of dry biomass weight</w:t>
      </w:r>
      <w:hyperlink w:anchor="user-content-fn-34">
        <w:r>
          <w:rPr>
            <w:rStyle w:val="Hyperlink"/>
            <w:vertAlign w:val="superscript"/>
            <w:lang w:val="en"/>
          </w:rPr>
          <w:t xml:space="preserve">35</w:t>
        </w:r>
      </w:hyperlink>
      <w:r>
        <w:rPr>
          <w:lang w:val="en"/>
        </w:rPr>
        <w:t xml:space="preserve">.</w:t>
      </w:r>
    </w:p>
    <w:p>
      <w:pPr>
        <w:pStyle w:val="BodyText"/>
      </w:pPr>
      <w:r>
        <w:rPr>
          <w:lang w:val="en"/>
        </w:rPr>
        <w:t xml:space="preserve">¶3</w:t>
      </w:r>
      <w:r>
        <w:rPr>
          <w:lang w:val="en"/>
        </w:rPr>
        <w:t xml:space="preserve"> </w:t>
      </w:r>
      <w:r>
        <w:rPr>
          <w:bCs/>
          <w:b/>
          <w:lang w:val="en"/>
        </w:rPr>
        <w:t xml:space="preserve">Below-ground biomass:</w:t>
      </w:r>
      <w:r>
        <w:rPr>
          <w:lang w:val="en"/>
        </w:rPr>
        <w:t xml:space="preserve"> </w:t>
      </w:r>
      <w:r>
        <w:rPr>
          <w:lang w:val="en"/>
        </w:rPr>
        <w:t xml:space="preserve">Root:shoot ratios of 0.5—1.5 commonly applied. For mangroves with extensive stilt root systems, below-ground biomass may equal or exceed above-ground biomass</w:t>
      </w:r>
      <w:hyperlink w:anchor="user-content-fn-35">
        <w:r>
          <w:rPr>
            <w:rStyle w:val="Hyperlink"/>
            <w:vertAlign w:val="superscript"/>
            <w:lang w:val="en"/>
          </w:rPr>
          <w:t xml:space="preserve">36</w:t>
        </w:r>
      </w:hyperlink>
      <w:r>
        <w:rPr>
          <w:lang w:val="en"/>
        </w:rPr>
        <w:t xml:space="preserve">.</w:t>
      </w:r>
    </w:p>
    <w:p>
      <w:pPr>
        <w:pStyle w:val="BodyText"/>
      </w:pPr>
      <w:r>
        <w:rPr>
          <w:lang w:val="en"/>
        </w:rPr>
        <w:t xml:space="preserve">¶4</w:t>
      </w:r>
      <w:r>
        <w:rPr>
          <w:lang w:val="en"/>
        </w:rPr>
        <w:t xml:space="preserve"> </w:t>
      </w:r>
      <w:r>
        <w:rPr>
          <w:bCs/>
          <w:b/>
          <w:lang w:val="en"/>
        </w:rPr>
        <w:t xml:space="preserve">Dead wood and litter:</w:t>
      </w:r>
      <w:r>
        <w:rPr>
          <w:lang w:val="en"/>
        </w:rPr>
        <w:t xml:space="preserve"> </w:t>
      </w:r>
      <w:r>
        <w:rPr>
          <w:lang w:val="en"/>
        </w:rPr>
        <w:t xml:space="preserve">Minor pools in most intact systems but locally significant in disturbed forests. Enumerate following IPCC Wetlands Supplement Chapter 4 protocols.</w:t>
      </w:r>
    </w:p>
    <w:p>
      <w:pPr>
        <w:pStyle w:val="BodyText"/>
      </w:pPr>
      <w:r>
        <w:rPr>
          <w:lang w:val="en"/>
        </w:rPr>
        <w:t xml:space="preserve">¶5</w:t>
      </w:r>
      <w:r>
        <w:rPr>
          <w:lang w:val="en"/>
        </w:rPr>
        <w:t xml:space="preserve"> </w:t>
      </w:r>
      <w:r>
        <w:rPr>
          <w:bCs/>
          <w:b/>
          <w:lang w:val="en"/>
        </w:rPr>
        <w:t xml:space="preserve">Sediment organic carbon (SOC):</w:t>
      </w:r>
      <w:r>
        <w:rPr>
          <w:lang w:val="en"/>
        </w:rPr>
        <w:t xml:space="preserve"> </w:t>
      </w:r>
      <w:r>
        <w:rPr>
          <w:lang w:val="en"/>
        </w:rPr>
        <w:t xml:space="preserve">The largest pool in most coastal wetlands, typically 70—95% of total ecosystem carbon. Representative ranges: mangrove SOC 500—1,500 tCO2e/ha to 1-metre depth (potentially exceeding 3,000 tCO2e/ha in Southeast Asian deep peat soils); saltmarsh SOC 200—700 tCO2e/ha. Methods that neglect soil cores will underestimate total ecosystem carbon.</w:t>
      </w:r>
    </w:p>
    <w:p>
      <w:pPr>
        <w:pStyle w:val="BodyText"/>
      </w:pPr>
      <w:r>
        <w:rPr>
          <w:lang w:val="en"/>
        </w:rPr>
        <w:t xml:space="preserve">¶6</w:t>
      </w:r>
      <w:r>
        <w:rPr>
          <w:lang w:val="en"/>
        </w:rPr>
        <w:t xml:space="preserve"> </w:t>
      </w:r>
      <w:r>
        <w:rPr>
          <w:lang w:val="en"/>
        </w:rPr>
        <w:t xml:space="preserve">The standard accounting depth is 1 metre (IPCC 2013 Wetlands Supplement). For mangrove systems with deep peat soils, compilers may additionally report carbon stocks to bedrock or depth of organic accumulation as a supplementary item, clearly distinguishing these from the 1-metre figures</w:t>
      </w:r>
      <w:hyperlink w:anchor="user-content-fn-36">
        <w:r>
          <w:rPr>
            <w:rStyle w:val="Hyperlink"/>
            <w:vertAlign w:val="superscript"/>
            <w:lang w:val="en"/>
          </w:rPr>
          <w:t xml:space="preserve">37</w:t>
        </w:r>
      </w:hyperlink>
      <w:r>
        <w:rPr>
          <w:lang w:val="en"/>
        </w:rPr>
        <w:t xml:space="preserve">.</w:t>
      </w:r>
    </w:p>
    <w:p>
      <w:pPr>
        <w:pStyle w:val="BodyText"/>
      </w:pPr>
      <w:r>
        <w:rPr>
          <w:lang w:val="en"/>
        </w:rPr>
        <w:t xml:space="preserve">¶7</w:t>
      </w:r>
      <w:r>
        <w:rPr>
          <w:lang w:val="en"/>
        </w:rPr>
        <w:t xml:space="preserve"> </w:t>
      </w:r>
      <w:r>
        <w:rPr>
          <w:bCs/>
          <w:b/>
          <w:lang w:val="en"/>
        </w:rPr>
        <w:t xml:space="preserve">Carbon market deeper-deposit requirement:</w:t>
      </w:r>
      <w:r>
        <w:rPr>
          <w:lang w:val="en"/>
        </w:rPr>
        <w:t xml:space="preserve"> </w:t>
      </w:r>
      <w:r>
        <w:rPr>
          <w:lang w:val="en"/>
        </w:rPr>
        <w:t xml:space="preserve">Verra VM0033 requires sampling to refusal or 3 m (whichever is shallower) for credit issuance. Where the account supports both SEEA reporting and credit issuance, report (a) 0—1 m stock for SEEA/inventory comparability and (b) full-depth stock to refusal or 3 m as a supplementary item.</w:t>
      </w:r>
    </w:p>
    <w:p>
      <w:pPr>
        <w:pStyle w:val="BodyText"/>
      </w:pPr>
      <w:r>
        <w:rPr>
          <w:lang w:val="en"/>
        </w:rPr>
        <w:t xml:space="preserve">¶8</w:t>
      </w:r>
      <w:r>
        <w:rPr>
          <w:lang w:val="en"/>
        </w:rPr>
        <w:t xml:space="preserve"> </w:t>
      </w:r>
      <w:r>
        <w:rPr>
          <w:bCs/>
          <w:b/>
          <w:lang w:val="en"/>
        </w:rPr>
        <w:t xml:space="preserve">Soil-carbon sampling and laboratory protocol</w:t>
      </w:r>
      <w:r>
        <w:rPr>
          <w:lang w:val="en"/>
        </w:rPr>
        <w:t xml:space="preserve"> </w:t>
      </w:r>
      <w:r>
        <w:rPr>
          <w:lang w:val="en"/>
        </w:rPr>
        <w:t xml:space="preserve">(Kauffman &amp; Donato 2012, CIFOR WP86 Sections 4—5; Howard et al. 2014 Chapter 4):</w:t>
      </w:r>
    </w:p>
    <w:p>
      <w:pPr>
        <w:numPr>
          <w:ilvl w:val="0"/>
          <w:numId w:val="1007"/>
        </w:numPr>
        <w:pStyle w:val="Compact"/>
      </w:pPr>
      <w:r>
        <w:rPr>
          <w:lang w:val="en"/>
        </w:rPr>
        <w:t xml:space="preserve">¶9</w:t>
      </w:r>
      <w:r>
        <w:rPr>
          <w:lang w:val="en"/>
        </w:rPr>
        <w:t xml:space="preserve"> </w:t>
      </w:r>
      <w:r>
        <w:rPr>
          <w:iCs/>
          <w:i/>
          <w:lang w:val="en"/>
        </w:rPr>
        <w:t xml:space="preserve">Core count and depth intervals:</w:t>
      </w:r>
      <w:r>
        <w:rPr>
          <w:lang w:val="en"/>
        </w:rPr>
        <w:t xml:space="preserve"> </w:t>
      </w:r>
      <w:r>
        <w:rPr>
          <w:lang w:val="en"/>
        </w:rPr>
        <w:t xml:space="preserve">minimum 6 cores per plot at 0—15, 15—30, 30—50, and 50—100 cm intervals (plus deeper intervals where the deeper-deposit protocol applies).</w:t>
      </w:r>
    </w:p>
    <w:p>
      <w:pPr>
        <w:numPr>
          <w:ilvl w:val="0"/>
          <w:numId w:val="1007"/>
        </w:numPr>
        <w:pStyle w:val="Compact"/>
      </w:pPr>
      <w:r>
        <w:rPr>
          <w:lang w:val="en"/>
        </w:rPr>
        <w:t xml:space="preserve">¶10</w:t>
      </w:r>
      <w:r>
        <w:rPr>
          <w:lang w:val="en"/>
        </w:rPr>
        <w:t xml:space="preserve"> </w:t>
      </w:r>
      <w:r>
        <w:rPr>
          <w:iCs/>
          <w:i/>
          <w:lang w:val="en"/>
        </w:rPr>
        <w:t xml:space="preserve">Compaction correction:</w:t>
      </w:r>
      <w:r>
        <w:rPr>
          <w:lang w:val="en"/>
        </w:rPr>
        <w:t xml:space="preserve"> </w:t>
      </w:r>
      <w:r>
        <w:rPr>
          <w:lang w:val="en"/>
        </w:rPr>
        <w:t xml:space="preserve">record extruded core length against cored interval length; apply ratio as depth-correction factor. Sediment compression of 20—40% during coring is common.</w:t>
      </w:r>
    </w:p>
    <w:p>
      <w:pPr>
        <w:numPr>
          <w:ilvl w:val="0"/>
          <w:numId w:val="1007"/>
        </w:numPr>
        <w:pStyle w:val="Compact"/>
      </w:pPr>
      <w:r>
        <w:rPr>
          <w:lang w:val="en"/>
        </w:rPr>
        <w:t xml:space="preserve">¶11</w:t>
      </w:r>
      <w:r>
        <w:rPr>
          <w:lang w:val="en"/>
        </w:rPr>
        <w:t xml:space="preserve"> </w:t>
      </w:r>
      <w:r>
        <w:rPr>
          <w:iCs/>
          <w:i/>
          <w:lang w:val="en"/>
        </w:rPr>
        <w:t xml:space="preserve">Laboratory method:</w:t>
      </w:r>
      <w:r>
        <w:rPr>
          <w:lang w:val="en"/>
        </w:rPr>
        <w:t xml:space="preserve"> </w:t>
      </w:r>
      <w:r>
        <w:rPr>
          <w:lang w:val="en"/>
        </w:rPr>
        <w:t xml:space="preserve">dry combustion using an elemental analyser preferred. Where Walkley-Black wet oxidation is used, apply a recovery factor of 1.30 unless site-specific calibration exists.</w:t>
      </w:r>
    </w:p>
    <w:p>
      <w:pPr>
        <w:numPr>
          <w:ilvl w:val="0"/>
          <w:numId w:val="1007"/>
        </w:numPr>
        <w:pStyle w:val="Compact"/>
      </w:pPr>
      <w:r>
        <w:rPr>
          <w:lang w:val="en"/>
        </w:rPr>
        <w:t xml:space="preserve">¶12</w:t>
      </w:r>
      <w:r>
        <w:rPr>
          <w:lang w:val="en"/>
        </w:rPr>
        <w:t xml:space="preserve"> </w:t>
      </w:r>
      <w:r>
        <w:rPr>
          <w:iCs/>
          <w:i/>
          <w:lang w:val="en"/>
        </w:rPr>
        <w:t xml:space="preserve">Loss-on-ignition:</w:t>
      </w:r>
      <w:r>
        <w:rPr>
          <w:lang w:val="en"/>
        </w:rPr>
        <w:t xml:space="preserve"> </w:t>
      </w:r>
      <w:r>
        <w:rPr>
          <w:lang w:val="en"/>
        </w:rPr>
        <w:t xml:space="preserve">requires site- or species-specific calibration against dry combustion before use for accounting purposes.</w:t>
      </w:r>
    </w:p>
    <w:p>
      <w:pPr>
        <w:pStyle w:val="FirstParagraph"/>
      </w:pPr>
      <w:r>
        <w:rPr>
          <w:lang w:val="en"/>
        </w:rPr>
        <w:t xml:space="preserve">¶13</w:t>
      </w:r>
      <w:r>
        <w:rPr>
          <w:lang w:val="en"/>
        </w:rPr>
        <w:t xml:space="preserve"> </w:t>
      </w:r>
      <w:r>
        <w:rPr>
          <w:lang w:val="en"/>
        </w:rPr>
        <w:t xml:space="preserve">The three-tier hierarchy for blue carbon stock measurement maps to the IPCC Wetlands Supplement tier framework (see use-case table above). Murdiyarso et al. (2023) provide a national-scale worked example of the Tier 1 to Tier 2 transition for Indonesian mangroves</w:t>
      </w:r>
      <w:hyperlink w:anchor="user-content-fn-38">
        <w:r>
          <w:rPr>
            <w:rStyle w:val="Hyperlink"/>
            <w:vertAlign w:val="superscript"/>
            <w:lang w:val="en"/>
          </w:rPr>
          <w:t xml:space="preserve">38</w:t>
        </w:r>
      </w:hyperlink>
      <w:r>
        <w:rPr>
          <w:lang w:val="en"/>
        </w:rPr>
        <w:t xml:space="preserve">.</w:t>
      </w:r>
    </w:p>
    <w:bookmarkStart w:id="112" w:name="allometric-equations-and-uncertainty"/>
    <w:p>
      <w:pPr>
        <w:pStyle w:val="Heading4"/>
      </w:pPr>
      <w:r>
        <w:rPr>
          <w:lang w:val="en"/>
        </w:rPr>
        <w:t xml:space="preserve">Allometric equations and uncertainty</w:t>
      </w:r>
    </w:p>
    <w:p>
      <w:pPr>
        <w:pStyle w:val="FirstParagraph"/>
      </w:pPr>
      <w:hyperlink w:anchor="allometric-equations-and-uncertainty">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“Allometric equations and uncertainty”</w:t>
        </w:r>
      </w:hyperlink>
    </w:p>
    <w:bookmarkEnd w:id="112"/>
    <w:p>
      <w:pPr>
        <w:pStyle w:val="BodyText"/>
      </w:pPr>
      <w:r>
        <w:rPr>
          <w:lang w:val="en"/>
        </w:rPr>
        <w:t xml:space="preserve">¶1</w:t>
      </w:r>
      <w:r>
        <w:rPr>
          <w:lang w:val="en"/>
        </w:rPr>
        <w:t xml:space="preserve"> </w:t>
      </w:r>
      <w:r>
        <w:rPr>
          <w:lang w:val="en"/>
        </w:rPr>
        <w:t xml:space="preserve">Selection rule — use the most specific equation available, in order:</w:t>
      </w:r>
    </w:p>
    <w:p>
      <w:pPr>
        <w:numPr>
          <w:ilvl w:val="0"/>
          <w:numId w:val="1008"/>
        </w:numPr>
        <w:pStyle w:val="Compact"/>
      </w:pPr>
      <w:r>
        <w:rPr>
          <w:lang w:val="en"/>
        </w:rPr>
        <w:t xml:space="preserve">¶2</w:t>
      </w:r>
      <w:r>
        <w:rPr>
          <w:lang w:val="en"/>
        </w:rPr>
        <w:t xml:space="preserve"> </w:t>
      </w:r>
      <w:r>
        <w:rPr>
          <w:bCs/>
          <w:b/>
          <w:lang w:val="en"/>
        </w:rPr>
        <w:t xml:space="preserve">Species-specific local equation</w:t>
      </w:r>
      <w:r>
        <w:rPr>
          <w:lang w:val="en"/>
        </w:rPr>
        <w:t xml:space="preserve"> </w:t>
      </w:r>
      <w:r>
        <w:rPr>
          <w:lang w:val="en"/>
        </w:rPr>
        <w:t xml:space="preserve">from destructive sampling within the accounting area.</w:t>
      </w:r>
    </w:p>
    <w:p>
      <w:pPr>
        <w:numPr>
          <w:ilvl w:val="0"/>
          <w:numId w:val="1008"/>
        </w:numPr>
        <w:pStyle w:val="Compact"/>
      </w:pPr>
      <w:r>
        <w:rPr>
          <w:lang w:val="en"/>
        </w:rPr>
        <w:t xml:space="preserve">¶3</w:t>
      </w:r>
      <w:r>
        <w:rPr>
          <w:lang w:val="en"/>
        </w:rPr>
        <w:t xml:space="preserve"> </w:t>
      </w:r>
      <w:r>
        <w:rPr>
          <w:bCs/>
          <w:b/>
          <w:lang w:val="en"/>
        </w:rPr>
        <w:t xml:space="preserve">Regional species-specific substitute</w:t>
      </w:r>
      <w:r>
        <w:rPr>
          <w:lang w:val="en"/>
        </w:rPr>
        <w:t xml:space="preserve"> </w:t>
      </w:r>
      <w:r>
        <w:rPr>
          <w:lang w:val="en"/>
        </w:rPr>
        <w:t xml:space="preserve">from the same species in a climatically analogous region. Price et al. (2024) confirmed common allometric equations hold for three transatlantic mangrove species across wide climate gradients.</w:t>
      </w:r>
    </w:p>
    <w:p>
      <w:pPr>
        <w:numPr>
          <w:ilvl w:val="0"/>
          <w:numId w:val="1008"/>
        </w:numPr>
        <w:pStyle w:val="Compact"/>
      </w:pPr>
      <w:r>
        <w:rPr>
          <w:lang w:val="en"/>
        </w:rPr>
        <w:t xml:space="preserve">¶4</w:t>
      </w:r>
      <w:r>
        <w:rPr>
          <w:lang w:val="en"/>
        </w:rPr>
        <w:t xml:space="preserve"> </w:t>
      </w:r>
      <w:r>
        <w:rPr>
          <w:bCs/>
          <w:b/>
          <w:lang w:val="en"/>
        </w:rPr>
        <w:t xml:space="preserve">Pantropical equation with measured wood density:</w:t>
      </w:r>
      <w:r>
        <w:rPr>
          <w:lang w:val="en"/>
        </w:rPr>
        <w:t xml:space="preserve"> </w:t>
      </w:r>
      <w:r>
        <w:rPr>
          <w:lang w:val="en"/>
        </w:rPr>
        <w:t xml:space="preserve">Komiyama et al. (2005): AGB (kg) = 0.251 x rho x D^2.46; BGB (kg) = 0.199 x rho^0.899 x D^2.22, where rho is wood density (g/cm³) and D is DBH (cm).</w:t>
      </w:r>
    </w:p>
    <w:p>
      <w:pPr>
        <w:numPr>
          <w:ilvl w:val="0"/>
          <w:numId w:val="1008"/>
        </w:numPr>
        <w:pStyle w:val="Compact"/>
      </w:pPr>
      <w:r>
        <w:rPr>
          <w:lang w:val="en"/>
        </w:rPr>
        <w:t xml:space="preserve">¶5</w:t>
      </w:r>
      <w:r>
        <w:rPr>
          <w:lang w:val="en"/>
        </w:rPr>
        <w:t xml:space="preserve"> </w:t>
      </w:r>
      <w:r>
        <w:rPr>
          <w:bCs/>
          <w:b/>
          <w:lang w:val="en"/>
        </w:rPr>
        <w:t xml:space="preserve">Pantropical default without measured wood density</w:t>
      </w:r>
      <w:r>
        <w:rPr>
          <w:lang w:val="en"/>
        </w:rPr>
        <w:t xml:space="preserve"> </w:t>
      </w:r>
      <w:r>
        <w:rPr>
          <w:lang w:val="en"/>
        </w:rPr>
        <w:t xml:space="preserve">— lowest confidence; document as a limitation</w:t>
      </w:r>
      <w:hyperlink w:anchor="user-content-fn-39">
        <w:r>
          <w:rPr>
            <w:rStyle w:val="Hyperlink"/>
            <w:vertAlign w:val="superscript"/>
            <w:lang w:val="en"/>
          </w:rPr>
          <w:t xml:space="preserve">39</w:t>
        </w:r>
      </w:hyperlink>
      <w:r>
        <w:rPr>
          <w:lang w:val="en"/>
        </w:rPr>
        <w:t xml:space="preserve">.</w:t>
      </w:r>
    </w:p>
    <w:p>
      <w:pPr>
        <w:pStyle w:val="FirstParagraph"/>
      </w:pPr>
      <w:r>
        <w:rPr>
          <w:lang w:val="en"/>
        </w:rPr>
        <w:t xml:space="preserve">¶6</w:t>
      </w:r>
      <w:r>
        <w:rPr>
          <w:lang w:val="en"/>
        </w:rPr>
        <w:t xml:space="preserve"> </w:t>
      </w:r>
      <w:r>
        <w:rPr>
          <w:lang w:val="en"/>
        </w:rPr>
        <w:t xml:space="preserve">For saltmarsh, Butler et al. (2025) demonstrated models explaining up to 89.3% of biomass variance for Southeast Australian species. Destructive harvest protocols from Howard et al. (2014) remain the standard fallback: 0.25 m² quadrats and a 0.42—0.45 carbon content factor.</w:t>
      </w:r>
    </w:p>
    <w:p>
      <w:pPr>
        <w:pStyle w:val="BodyText"/>
      </w:pPr>
      <w:r>
        <w:rPr>
          <w:lang w:val="en"/>
        </w:rPr>
        <w:t xml:space="preserve">¶7</w:t>
      </w:r>
      <w:r>
        <w:rPr>
          <w:lang w:val="en"/>
        </w:rPr>
        <w:t xml:space="preserve"> </w:t>
      </w:r>
      <w:r>
        <w:rPr>
          <w:bCs/>
          <w:b/>
          <w:lang w:val="en"/>
        </w:rPr>
        <w:t xml:space="preserve">Equation applicability ranges: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Equation</w:t>
            </w:r>
          </w:p>
        </w:tc>
        <w:tc>
          <w:tcPr/>
          <w:p>
            <w:pPr>
              <w:pStyle w:val="Compact"/>
              <w:jc w:val="left"/>
            </w:pPr>
            <w:r>
              <w:rPr>
                <w:lang w:val="en"/>
              </w:rPr>
              <w:t xml:space="preserve">Predictors</w:t>
            </w:r>
          </w:p>
        </w:tc>
        <w:tc>
          <w:tcPr/>
          <w:p>
            <w:pPr>
              <w:pStyle w:val="Compact"/>
              <w:jc w:val="left"/>
            </w:pPr>
            <w:r>
              <w:rPr>
                <w:lang w:val="en"/>
              </w:rPr>
              <w:t xml:space="preserve">Calibrated on</w:t>
            </w:r>
          </w:p>
        </w:tc>
        <w:tc>
          <w:tcPr/>
          <w:p>
            <w:pPr>
              <w:pStyle w:val="Compact"/>
              <w:jc w:val="left"/>
            </w:pPr>
            <w:r>
              <w:rPr>
                <w:lang w:val="en"/>
              </w:rPr>
              <w:t xml:space="preserve">DBH range (cm)</w:t>
            </w:r>
          </w:p>
        </w:tc>
        <w:tc>
          <w:tcPr/>
          <w:p>
            <w:pPr>
              <w:pStyle w:val="Compact"/>
              <w:jc w:val="left"/>
            </w:pPr>
            <w:r>
              <w:rPr>
                <w:lang w:val="en"/>
              </w:rPr>
              <w:t xml:space="preserve">Reported error</w:t>
            </w:r>
          </w:p>
        </w:tc>
        <w:tc>
          <w:tcPr/>
          <w:p>
            <w:pPr>
              <w:pStyle w:val="Compact"/>
              <w:jc w:val="left"/>
            </w:pPr>
            <w:r>
              <w:rPr>
                <w:lang w:val="en"/>
              </w:rPr>
              <w:t xml:space="preserve">Recommended use</w:t>
            </w:r>
          </w:p>
        </w:tc>
      </w:tr>
      <w:tr>
        <w:tc>
          <w:tcPr/>
          <w:p>
            <w:pPr>
              <w:pStyle w:val="Compact"/>
              <w:jc w:val="left"/>
            </w:pPr>
            <w:r>
              <w:rPr>
                <w:lang w:val="en"/>
              </w:rPr>
              <w:t xml:space="preserve">Komiyama et al. (2005) pantropical</w:t>
            </w:r>
          </w:p>
        </w:tc>
        <w:tc>
          <w:tcPr/>
          <w:p>
            <w:pPr>
              <w:pStyle w:val="Compact"/>
              <w:jc w:val="left"/>
            </w:pPr>
            <w:r>
              <w:rPr>
                <w:lang w:val="en"/>
              </w:rPr>
              <w:t xml:space="preserve">DBH, wood density</w:t>
            </w:r>
          </w:p>
        </w:tc>
        <w:tc>
          <w:tcPr/>
          <w:p>
            <w:pPr>
              <w:pStyle w:val="Compact"/>
              <w:jc w:val="left"/>
            </w:pPr>
            <w:r>
              <w:rPr>
                <w:lang w:val="en"/>
              </w:rPr>
              <w:t xml:space="preserve">Mixed species (Thailand, Indonesia, Panama)</w:t>
            </w:r>
          </w:p>
        </w:tc>
        <w:tc>
          <w:tcPr/>
          <w:p>
            <w:pPr>
              <w:pStyle w:val="Compact"/>
              <w:jc w:val="left"/>
            </w:pPr>
            <w:r>
              <w:rPr>
                <w:lang w:val="en"/>
              </w:rPr>
              <w:t xml:space="preserve">5—49</w:t>
            </w:r>
          </w:p>
        </w:tc>
        <w:tc>
          <w:tcPr/>
          <w:p>
            <w:pPr>
              <w:pStyle w:val="Compact"/>
              <w:jc w:val="left"/>
            </w:pPr>
            <w:r>
              <w:rPr>
                <w:lang w:val="en"/>
              </w:rPr>
              <w:t xml:space="preserve">RSE approx. 12%</w:t>
            </w:r>
          </w:p>
        </w:tc>
        <w:tc>
          <w:tcPr/>
          <w:p>
            <w:pPr>
              <w:pStyle w:val="Compact"/>
              <w:jc w:val="left"/>
            </w:pPr>
            <w:r>
              <w:rPr>
                <w:lang w:val="en"/>
              </w:rPr>
              <w:t xml:space="preserve">Default; flag extrapolation outside DBH range</w:t>
            </w:r>
          </w:p>
        </w:tc>
      </w:tr>
      <w:tr>
        <w:tc>
          <w:tcPr/>
          <w:p>
            <w:pPr>
              <w:pStyle w:val="Compact"/>
              <w:jc w:val="left"/>
            </w:pPr>
            <w:r>
              <w:rPr>
                <w:lang w:val="en"/>
              </w:rPr>
              <w:t xml:space="preserve">Komiyama et al. (2008) species-specific</w:t>
            </w:r>
          </w:p>
        </w:tc>
        <w:tc>
          <w:tcPr/>
          <w:p>
            <w:pPr>
              <w:pStyle w:val="Compact"/>
              <w:jc w:val="left"/>
            </w:pPr>
            <w:r>
              <w:rPr>
                <w:lang w:val="en"/>
              </w:rPr>
              <w:t xml:space="preserve">DBH (species-specific coefficients)</w:t>
            </w:r>
          </w:p>
        </w:tc>
        <w:tc>
          <w:tcPr/>
          <w:p>
            <w:pPr>
              <w:pStyle w:val="Compact"/>
              <w:jc w:val="left"/>
            </w:pPr>
            <w:r>
              <w:rPr>
                <w:lang w:val="en"/>
              </w:rPr>
              <w:t xml:space="preserve">Multiple Rhizophora, Avicennia, Bruguiera, Sonneratia</w:t>
            </w:r>
          </w:p>
        </w:tc>
        <w:tc>
          <w:tcPr/>
          <w:p>
            <w:pPr>
              <w:pStyle w:val="Compact"/>
              <w:jc w:val="left"/>
            </w:pPr>
            <w:r>
              <w:rPr>
                <w:lang w:val="en"/>
              </w:rPr>
              <w:t xml:space="preserve">Varies 2—40</w:t>
            </w:r>
          </w:p>
        </w:tc>
        <w:tc>
          <w:tcPr/>
          <w:p>
            <w:pPr>
              <w:pStyle w:val="Compact"/>
              <w:jc w:val="left"/>
            </w:pPr>
            <w:r>
              <w:rPr>
                <w:lang w:val="en"/>
              </w:rPr>
              <w:t xml:space="preserve">Species-dependent</w:t>
            </w:r>
          </w:p>
        </w:tc>
        <w:tc>
          <w:tcPr/>
          <w:p>
            <w:pPr>
              <w:pStyle w:val="Compact"/>
              <w:jc w:val="left"/>
            </w:pPr>
            <w:r>
              <w:rPr>
                <w:lang w:val="en"/>
              </w:rPr>
              <w:t xml:space="preserve">Preferred where species represented and stand analogous</w:t>
            </w:r>
          </w:p>
        </w:tc>
      </w:tr>
      <w:tr>
        <w:tc>
          <w:tcPr/>
          <w:p>
            <w:pPr>
              <w:pStyle w:val="Compact"/>
              <w:jc w:val="left"/>
            </w:pPr>
            <w:r>
              <w:rPr>
                <w:lang w:val="en"/>
              </w:rPr>
              <w:t xml:space="preserve">Kauffman &amp; Donato (2012) / Kauffman et al. (2016)</w:t>
            </w:r>
          </w:p>
        </w:tc>
        <w:tc>
          <w:tcPr/>
          <w:p>
            <w:pPr>
              <w:pStyle w:val="Compact"/>
              <w:jc w:val="left"/>
            </w:pPr>
            <w:r>
              <w:rPr>
                <w:lang w:val="en"/>
              </w:rPr>
              <w:t xml:space="preserve">DBH</w:t>
            </w:r>
          </w:p>
        </w:tc>
        <w:tc>
          <w:tcPr/>
          <w:p>
            <w:pPr>
              <w:pStyle w:val="Compact"/>
              <w:jc w:val="left"/>
            </w:pPr>
            <w:r>
              <w:rPr>
                <w:lang w:val="en"/>
              </w:rPr>
              <w:t xml:space="preserve">Mixed neotropical and Indo-Pacific</w:t>
            </w:r>
          </w:p>
        </w:tc>
        <w:tc>
          <w:tcPr/>
          <w:p>
            <w:pPr>
              <w:pStyle w:val="Compact"/>
              <w:jc w:val="left"/>
            </w:pPr>
            <w:r>
              <w:rPr>
                <w:lang w:val="en"/>
              </w:rPr>
              <w:t xml:space="preserve">2—50</w:t>
            </w:r>
          </w:p>
        </w:tc>
        <w:tc>
          <w:tcPr/>
          <w:p>
            <w:pPr>
              <w:pStyle w:val="Compact"/>
              <w:jc w:val="left"/>
            </w:pPr>
            <w:r>
              <w:rPr>
                <w:lang w:val="en"/>
              </w:rPr>
              <w:t xml:space="preserve">Reported in source</w:t>
            </w:r>
          </w:p>
        </w:tc>
        <w:tc>
          <w:tcPr/>
          <w:p>
            <w:pPr>
              <w:pStyle w:val="Compact"/>
              <w:jc w:val="left"/>
            </w:pPr>
            <w:r>
              <w:rPr>
                <w:lang w:val="en"/>
              </w:rPr>
              <w:t xml:space="preserve">Standard for protocol-level consistency</w:t>
            </w:r>
          </w:p>
        </w:tc>
      </w:tr>
      <w:tr>
        <w:tc>
          <w:tcPr/>
          <w:p>
            <w:pPr>
              <w:pStyle w:val="Compact"/>
              <w:jc w:val="left"/>
            </w:pPr>
            <w:r>
              <w:rPr>
                <w:lang w:val="en"/>
              </w:rPr>
              <w:t xml:space="preserve">Butler et al. (2025) saltmarsh</w:t>
            </w:r>
          </w:p>
        </w:tc>
        <w:tc>
          <w:tcPr/>
          <w:p>
            <w:pPr>
              <w:pStyle w:val="Compact"/>
              <w:jc w:val="left"/>
            </w:pPr>
            <w:r>
              <w:rPr>
                <w:lang w:val="en"/>
              </w:rPr>
              <w:t xml:space="preserve">Canopy diameter, height</w:t>
            </w:r>
          </w:p>
        </w:tc>
        <w:tc>
          <w:tcPr/>
          <w:p>
            <w:pPr>
              <w:pStyle w:val="Compact"/>
              <w:jc w:val="left"/>
            </w:pPr>
            <w:r>
              <w:rPr>
                <w:lang w:val="en"/>
              </w:rPr>
              <w:t xml:space="preserve">SE Australian saltmarsh species</w:t>
            </w:r>
          </w:p>
        </w:tc>
        <w:tc>
          <w:tcPr/>
          <w:p>
            <w:pPr>
              <w:pStyle w:val="Compact"/>
              <w:jc w:val="left"/>
            </w:pPr>
            <w:r>
              <w:rPr>
                <w:lang w:val="en"/>
              </w:rPr>
              <w:t xml:space="preserve">n/a</w:t>
            </w:r>
          </w:p>
        </w:tc>
        <w:tc>
          <w:tcPr/>
          <w:p>
            <w:pPr>
              <w:pStyle w:val="Compact"/>
              <w:jc w:val="left"/>
            </w:pPr>
            <w:r>
              <w:rPr>
                <w:lang w:val="en"/>
              </w:rPr>
              <w:t xml:space="preserve">R^2 up to 0.893</w:t>
            </w:r>
          </w:p>
        </w:tc>
        <w:tc>
          <w:tcPr/>
          <w:p>
            <w:pPr>
              <w:pStyle w:val="Compact"/>
              <w:jc w:val="left"/>
            </w:pPr>
            <w:r>
              <w:rPr>
                <w:lang w:val="en"/>
              </w:rPr>
              <w:t xml:space="preserve">Saltmarsh AGB where species and structure analogous</w:t>
            </w:r>
          </w:p>
        </w:tc>
      </w:tr>
    </w:tbl>
    <w:p>
      <w:pPr>
        <w:pStyle w:val="BodyText"/>
      </w:pPr>
      <w:r>
        <w:rPr>
          <w:lang w:val="en"/>
        </w:rPr>
        <w:t xml:space="preserve">¶8</w:t>
      </w:r>
      <w:r>
        <w:rPr>
          <w:lang w:val="en"/>
        </w:rPr>
        <w:t xml:space="preserve"> </w:t>
      </w:r>
      <w:r>
        <w:rPr>
          <w:lang w:val="en"/>
        </w:rPr>
        <w:t xml:space="preserve">Compilers must: (a) confirm species and DBH range fall within the calibration domain; (b) flag extrapolation as documented uncertainty; and (c) record the equation reference in account metadata.</w:t>
      </w:r>
    </w:p>
    <w:p>
      <w:pPr>
        <w:pStyle w:val="BodyText"/>
      </w:pPr>
      <w:r>
        <w:rPr>
          <w:lang w:val="en"/>
        </w:rPr>
        <w:t xml:space="preserve">¶9</w:t>
      </w:r>
      <w:r>
        <w:rPr>
          <w:lang w:val="en"/>
        </w:rPr>
        <w:t xml:space="preserve"> </w:t>
      </w:r>
      <w:r>
        <w:rPr>
          <w:bCs/>
          <w:b/>
          <w:lang w:val="en"/>
        </w:rPr>
        <w:t xml:space="preserve">DBH measurement conventions (Kauffman &amp; Donato 2012 Section 3.2; Howard et al. 2014 Chapter 3):</w:t>
      </w:r>
    </w:p>
    <w:p>
      <w:pPr>
        <w:numPr>
          <w:ilvl w:val="0"/>
          <w:numId w:val="1009"/>
        </w:numPr>
        <w:pStyle w:val="Compact"/>
      </w:pPr>
      <w:r>
        <w:rPr>
          <w:lang w:val="en"/>
        </w:rPr>
        <w:t xml:space="preserve">¶10</w:t>
      </w:r>
      <w:r>
        <w:rPr>
          <w:lang w:val="en"/>
        </w:rPr>
        <w:t xml:space="preserve"> </w:t>
      </w:r>
      <w:r>
        <w:rPr>
          <w:iCs/>
          <w:i/>
          <w:lang w:val="en"/>
        </w:rPr>
        <w:t xml:space="preserve">Rhizophora</w:t>
      </w:r>
      <w:r>
        <w:rPr>
          <w:lang w:val="en"/>
        </w:rPr>
        <w:t xml:space="preserve"> </w:t>
      </w:r>
      <w:r>
        <w:rPr>
          <w:lang w:val="en"/>
        </w:rPr>
        <w:t xml:space="preserve">spp. — 1.3 m above the highest prop root.</w:t>
      </w:r>
    </w:p>
    <w:p>
      <w:pPr>
        <w:numPr>
          <w:ilvl w:val="0"/>
          <w:numId w:val="1009"/>
        </w:numPr>
        <w:pStyle w:val="Compact"/>
      </w:pPr>
      <w:r>
        <w:rPr>
          <w:lang w:val="en"/>
        </w:rPr>
        <w:t xml:space="preserve">¶11</w:t>
      </w:r>
      <w:r>
        <w:rPr>
          <w:lang w:val="en"/>
        </w:rPr>
        <w:t xml:space="preserve"> </w:t>
      </w:r>
      <w:r>
        <w:rPr>
          <w:iCs/>
          <w:i/>
          <w:lang w:val="en"/>
        </w:rPr>
        <w:t xml:space="preserve">Avicennia</w:t>
      </w:r>
      <w:r>
        <w:rPr>
          <w:lang w:val="en"/>
        </w:rPr>
        <w:t xml:space="preserve"> </w:t>
      </w:r>
      <w:r>
        <w:rPr>
          <w:lang w:val="en"/>
        </w:rPr>
        <w:t xml:space="preserve">spp. — 1.3 m above substrate; pneumatophores not measured as stems.</w:t>
      </w:r>
    </w:p>
    <w:p>
      <w:pPr>
        <w:numPr>
          <w:ilvl w:val="0"/>
          <w:numId w:val="1009"/>
        </w:numPr>
        <w:pStyle w:val="Compact"/>
      </w:pPr>
      <w:r>
        <w:rPr>
          <w:lang w:val="en"/>
        </w:rPr>
        <w:t xml:space="preserve">¶12</w:t>
      </w:r>
      <w:r>
        <w:rPr>
          <w:lang w:val="en"/>
        </w:rPr>
        <w:t xml:space="preserve"> </w:t>
      </w:r>
      <w:r>
        <w:rPr>
          <w:iCs/>
          <w:i/>
          <w:lang w:val="en"/>
        </w:rPr>
        <w:t xml:space="preserve">Sonneratia</w:t>
      </w:r>
      <w:r>
        <w:rPr>
          <w:lang w:val="en"/>
        </w:rPr>
        <w:t xml:space="preserve"> </w:t>
      </w:r>
      <w:r>
        <w:rPr>
          <w:lang w:val="en"/>
        </w:rPr>
        <w:t xml:space="preserve">spp. — 1.3 m above substrate; multi-stemmed individuals reported as sum of basal area.</w:t>
      </w:r>
    </w:p>
    <w:p>
      <w:pPr>
        <w:numPr>
          <w:ilvl w:val="0"/>
          <w:numId w:val="1009"/>
        </w:numPr>
        <w:pStyle w:val="Compact"/>
      </w:pPr>
      <w:r>
        <w:rPr>
          <w:lang w:val="en"/>
        </w:rPr>
        <w:t xml:space="preserve">¶13</w:t>
      </w:r>
      <w:r>
        <w:rPr>
          <w:lang w:val="en"/>
        </w:rPr>
        <w:t xml:space="preserve"> </w:t>
      </w:r>
      <w:r>
        <w:rPr>
          <w:iCs/>
          <w:i/>
          <w:lang w:val="en"/>
        </w:rPr>
        <w:t xml:space="preserve">Bruguiera</w:t>
      </w:r>
      <w:r>
        <w:rPr>
          <w:lang w:val="en"/>
        </w:rPr>
        <w:t xml:space="preserve"> </w:t>
      </w:r>
      <w:r>
        <w:rPr>
          <w:lang w:val="en"/>
        </w:rPr>
        <w:t xml:space="preserve">spp. — 1.3 m above substrate.</w:t>
      </w:r>
    </w:p>
    <w:p>
      <w:pPr>
        <w:numPr>
          <w:ilvl w:val="0"/>
          <w:numId w:val="1009"/>
        </w:numPr>
        <w:pStyle w:val="Compact"/>
      </w:pPr>
      <w:r>
        <w:rPr>
          <w:lang w:val="en"/>
        </w:rPr>
        <w:t xml:space="preserve">¶14</w:t>
      </w:r>
      <w:r>
        <w:rPr>
          <w:lang w:val="en"/>
        </w:rPr>
        <w:t xml:space="preserve"> </w:t>
      </w:r>
      <w:r>
        <w:rPr>
          <w:iCs/>
          <w:i/>
          <w:lang w:val="en"/>
        </w:rPr>
        <w:t xml:space="preserve">Excoecaria agallocha</w:t>
      </w:r>
      <w:r>
        <w:rPr>
          <w:lang w:val="en"/>
        </w:rPr>
        <w:t xml:space="preserve">,</w:t>
      </w:r>
      <w:r>
        <w:rPr>
          <w:lang w:val="en"/>
        </w:rPr>
        <w:t xml:space="preserve"> </w:t>
      </w:r>
      <w:r>
        <w:rPr>
          <w:iCs/>
          <w:i/>
          <w:lang w:val="en"/>
        </w:rPr>
        <w:t xml:space="preserve">Heritiera</w:t>
      </w:r>
      <w:r>
        <w:rPr>
          <w:lang w:val="en"/>
        </w:rPr>
        <w:t xml:space="preserve"> </w:t>
      </w:r>
      <w:r>
        <w:rPr>
          <w:lang w:val="en"/>
        </w:rPr>
        <w:t xml:space="preserve">spp. — measure immediately above buttress where buttresses exceed 1.3 m.</w:t>
      </w:r>
    </w:p>
    <w:p>
      <w:pPr>
        <w:numPr>
          <w:ilvl w:val="0"/>
          <w:numId w:val="1009"/>
        </w:numPr>
        <w:pStyle w:val="Compact"/>
      </w:pPr>
      <w:r>
        <w:rPr>
          <w:lang w:val="en"/>
        </w:rPr>
        <w:t xml:space="preserve">¶15</w:t>
      </w:r>
      <w:r>
        <w:rPr>
          <w:lang w:val="en"/>
        </w:rPr>
        <w:t xml:space="preserve"> </w:t>
      </w:r>
      <w:r>
        <w:rPr>
          <w:lang w:val="en"/>
        </w:rPr>
        <w:t xml:space="preserve">Coppicing/multi-stemmed — record each stem &gt;5 cm DBH separately; sum basal area for biomass.</w:t>
      </w:r>
    </w:p>
    <w:p>
      <w:pPr>
        <w:pStyle w:val="FirstParagraph"/>
      </w:pPr>
      <w:r>
        <w:rPr>
          <w:lang w:val="en"/>
        </w:rPr>
        <w:t xml:space="preserve">¶16</w:t>
      </w:r>
      <w:r>
        <w:rPr>
          <w:lang w:val="en"/>
        </w:rPr>
        <w:t xml:space="preserve"> </w:t>
      </w:r>
      <w:r>
        <w:rPr>
          <w:bCs/>
          <w:b/>
          <w:lang w:val="en"/>
        </w:rPr>
        <w:t xml:space="preserve">Uncertainty quantification:</w:t>
      </w:r>
      <w:r>
        <w:rPr>
          <w:lang w:val="en"/>
        </w:rPr>
        <w:t xml:space="preserve"> </w:t>
      </w:r>
      <w:r>
        <w:rPr>
          <w:lang w:val="en"/>
        </w:rPr>
        <w:t xml:space="preserve">Allometric equation uncertainty typically constitutes 30—75% of total biomass estimation uncertainty</w:t>
      </w:r>
      <w:hyperlink w:anchor="user-content-fn-40">
        <w:r>
          <w:rPr>
            <w:rStyle w:val="Hyperlink"/>
            <w:vertAlign w:val="superscript"/>
            <w:lang w:val="en"/>
          </w:rPr>
          <w:t xml:space="preserve">40</w:t>
        </w:r>
      </w:hyperlink>
      <w:r>
        <w:rPr>
          <w:lang w:val="en"/>
        </w:rPr>
        <w:t xml:space="preserve">. Where Monte Carlo simulation is feasible, sample from each parameter’s error distribution across 1,000+ iterations and report mean and 95% confidence interval. Where not feasible, report known confidence intervals from the equation’s published validation. Uncertainty is documented in the technical annex, not embedded in account tables.</w:t>
      </w:r>
    </w:p>
    <w:bookmarkStart w:id="115" w:name="carbon-sequestration-measurement"/>
    <w:p>
      <w:pPr>
        <w:pStyle w:val="Heading4"/>
      </w:pPr>
      <w:r>
        <w:rPr>
          <w:lang w:val="en"/>
        </w:rPr>
        <w:t xml:space="preserve">Carbon sequestration measurement</w:t>
      </w:r>
    </w:p>
    <w:p>
      <w:pPr>
        <w:pStyle w:val="FirstParagraph"/>
      </w:pPr>
      <w:hyperlink w:anchor="carbon-sequestration-measurement">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sequestration measurement”</w:t>
        </w:r>
      </w:hyperlink>
    </w:p>
    <w:bookmarkEnd w:id="115"/>
    <w:p>
      <w:pPr>
        <w:pStyle w:val="BodyText"/>
      </w:pPr>
      <w:r>
        <w:rPr>
          <w:lang w:val="en"/>
        </w:rPr>
        <w:t xml:space="preserve">¶1</w:t>
      </w:r>
      <w:r>
        <w:rPr>
          <w:lang w:val="en"/>
        </w:rPr>
        <w:t xml:space="preserve"> </w:t>
      </w:r>
      <w:r>
        <w:rPr>
          <w:lang w:val="en"/>
        </w:rPr>
        <w:t xml:space="preserve">Carbon sequestration is the ongoing removal of CO2 from the atmosphere, distinct from carbon storage</w:t>
      </w:r>
      <w:hyperlink w:anchor="user-content-fn-41">
        <w:r>
          <w:rPr>
            <w:rStyle w:val="Hyperlink"/>
            <w:vertAlign w:val="superscript"/>
            <w:lang w:val="en"/>
          </w:rPr>
          <w:t xml:space="preserve">41</w:t>
        </w:r>
      </w:hyperlink>
      <w:r>
        <w:rPr>
          <w:lang w:val="en"/>
        </w:rPr>
        <w:t xml:space="preserve">. For mangroves and coastal wetlands, it occurs through biomass accumulation (net growth of vegetation) and sediment burial (organic matter incorporation into accreting sediments)</w:t>
      </w:r>
      <w:hyperlink w:anchor="user-content-fn-42">
        <w:r>
          <w:rPr>
            <w:rStyle w:val="Hyperlink"/>
            <w:vertAlign w:val="superscript"/>
            <w:lang w:val="en"/>
          </w:rPr>
          <w:t xml:space="preserve">42</w:t>
        </w:r>
      </w:hyperlink>
      <w:r>
        <w:rPr>
          <w:lang w:val="en"/>
        </w:rPr>
        <w:t xml:space="preserve">.</w:t>
      </w:r>
    </w:p>
    <w:p>
      <w:pPr>
        <w:pStyle w:val="BodyText"/>
      </w:pPr>
      <w:r>
        <w:rPr>
          <w:lang w:val="en"/>
        </w:rPr>
        <w:t xml:space="preserve">¶2</w:t>
      </w:r>
      <w:r>
        <w:rPr>
          <w:lang w:val="en"/>
        </w:rPr>
        <w:t xml:space="preserve"> </w:t>
      </w:r>
      <w:r>
        <w:rPr>
          <w:lang w:val="en"/>
        </w:rPr>
        <w:t xml:space="preserve">Global average sequestration rates: mangroves approximately 1.5—2.5 tC/ha/yr; saltmarshes approximately 0.5—2.0 tC/ha/yr</w:t>
      </w:r>
      <w:hyperlink w:anchor="user-content-fn-43">
        <w:r>
          <w:rPr>
            <w:rStyle w:val="Hyperlink"/>
            <w:vertAlign w:val="superscript"/>
            <w:lang w:val="en"/>
          </w:rPr>
          <w:t xml:space="preserve">43</w:t>
        </w:r>
      </w:hyperlink>
      <w:r>
        <w:rPr>
          <w:lang w:val="en"/>
        </w:rPr>
        <w:t xml:space="preserve">,</w:t>
      </w:r>
      <w:r>
        <w:rPr>
          <w:lang w:val="en"/>
        </w:rPr>
        <w:t xml:space="preserve"> </w:t>
      </w:r>
      <w:hyperlink w:anchor="user-content-fn-44">
        <w:r>
          <w:rPr>
            <w:rStyle w:val="Hyperlink"/>
            <w:vertAlign w:val="superscript"/>
            <w:lang w:val="en"/>
          </w:rPr>
          <w:t xml:space="preserve">44</w:t>
        </w:r>
      </w:hyperlink>
      <w:r>
        <w:rPr>
          <w:lang w:val="en"/>
        </w:rPr>
        <w:t xml:space="preserve">.</w:t>
      </w:r>
    </w:p>
    <w:p>
      <w:pPr>
        <w:pStyle w:val="BodyText"/>
      </w:pPr>
      <w:r>
        <w:rPr>
          <w:lang w:val="en"/>
        </w:rPr>
        <w:t xml:space="preserve">¶3</w:t>
      </w:r>
      <w:r>
        <w:rPr>
          <w:lang w:val="en"/>
        </w:rPr>
        <w:t xml:space="preserve"> </w:t>
      </w:r>
      <w:r>
        <w:rPr>
          <w:bCs/>
          <w:b/>
          <w:lang w:val="en"/>
        </w:rPr>
        <w:t xml:space="preserve">Net sequestration identity (operational rule for the flow account):</w:t>
      </w:r>
    </w:p>
    <w:p>
      <w:pPr>
        <w:pStyle w:val="BlockText"/>
      </w:pPr>
      <w:r>
        <w:rPr>
          <w:lang w:val="en"/>
        </w:rPr>
        <w:t xml:space="preserve">Net carbon sequestration (period t) = Gross biomass increment + Net soil C accumulation — Mortality and respiration losses — Conversion and degradation emissions</w:t>
      </w:r>
    </w:p>
    <w:p>
      <w:pPr>
        <w:pStyle w:val="FirstParagraph"/>
      </w:pPr>
      <w:r>
        <w:rPr>
          <w:lang w:val="en"/>
        </w:rPr>
        <w:t xml:space="preserve">¶4</w:t>
      </w:r>
      <w:r>
        <w:rPr>
          <w:lang w:val="en"/>
        </w:rPr>
        <w:t xml:space="preserve"> </w:t>
      </w:r>
      <w:r>
        <w:rPr>
          <w:lang w:val="en"/>
        </w:rPr>
        <w:t xml:space="preserve">The retention (stock) service is recorded in the condition account</w:t>
      </w:r>
      <w:hyperlink w:anchor="user-content-fn-37">
        <w:r>
          <w:rPr>
            <w:rStyle w:val="Hyperlink"/>
            <w:vertAlign w:val="superscript"/>
            <w:lang w:val="en"/>
          </w:rPr>
          <w:t xml:space="preserve">45</w:t>
        </w:r>
      </w:hyperlink>
      <w:r>
        <w:rPr>
          <w:lang w:val="en"/>
        </w:rPr>
        <w:t xml:space="preserve">. The sequestration (flow) service is recorded in the services flow account using the net identity above</w:t>
      </w:r>
      <w:hyperlink w:anchor="user-content-fn-85">
        <w:r>
          <w:rPr>
            <w:rStyle w:val="Hyperlink"/>
            <w:vertAlign w:val="superscript"/>
            <w:lang w:val="en"/>
          </w:rPr>
          <w:t xml:space="preserve">46</w:t>
        </w:r>
      </w:hyperlink>
      <w:r>
        <w:rPr>
          <w:lang w:val="en"/>
        </w:rPr>
        <w:t xml:space="preserve">. Reporting stock change and additionally applying a sequestration rate per hectare constitutes double counting.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Approach</w:t>
            </w:r>
          </w:p>
        </w:tc>
        <w:tc>
          <w:tcPr/>
          <w:p>
            <w:pPr>
              <w:pStyle w:val="Compact"/>
              <w:jc w:val="left"/>
            </w:pPr>
            <w:r>
              <w:rPr>
                <w:lang w:val="en"/>
              </w:rPr>
              <w:t xml:space="preserve">Description</w:t>
            </w:r>
          </w:p>
        </w:tc>
      </w:tr>
      <w:tr>
        <w:tc>
          <w:tcPr/>
          <w:p>
            <w:pPr>
              <w:pStyle w:val="Compact"/>
              <w:jc w:val="left"/>
            </w:pPr>
            <w:r>
              <w:rPr>
                <w:bCs/>
                <w:b/>
                <w:lang w:val="en"/>
              </w:rPr>
              <w:t xml:space="preserve">Biomass change methods</w:t>
            </w:r>
          </w:p>
        </w:tc>
        <w:tc>
          <w:tcPr/>
          <w:p>
            <w:pPr>
              <w:pStyle w:val="Compact"/>
              <w:jc w:val="left"/>
            </w:pPr>
            <w:r>
              <w:rPr>
                <w:lang w:val="en"/>
              </w:rPr>
              <w:t xml:space="preserve">Repeated measurements of vegetation structure with allometric equations applied to compute net biomass increment between censuses.</w:t>
            </w:r>
          </w:p>
        </w:tc>
      </w:tr>
      <w:tr>
        <w:tc>
          <w:tcPr/>
          <w:p>
            <w:pPr>
              <w:pStyle w:val="Compact"/>
              <w:jc w:val="left"/>
            </w:pPr>
            <w:r>
              <w:rPr>
                <w:bCs/>
                <w:b/>
                <w:lang w:val="en"/>
              </w:rPr>
              <w:t xml:space="preserve">Sediment carbon burial rate</w:t>
            </w:r>
          </w:p>
        </w:tc>
        <w:tc>
          <w:tcPr/>
          <w:p>
            <w:pPr>
              <w:pStyle w:val="Compact"/>
              <w:jc w:val="left"/>
            </w:pPr>
            <w:r>
              <w:rPr>
                <w:lang w:val="en"/>
              </w:rPr>
              <w:t xml:space="preserve">Radioisotope dating (210Pb CRS, optionally cross-validated with 137Cs) to establish sediment accumulation rates.</w:t>
            </w:r>
          </w:p>
        </w:tc>
      </w:tr>
      <w:tr>
        <w:tc>
          <w:tcPr/>
          <w:p>
            <w:pPr>
              <w:pStyle w:val="Compact"/>
              <w:jc w:val="left"/>
            </w:pPr>
            <w:r>
              <w:rPr>
                <w:bCs/>
                <w:b/>
                <w:lang w:val="en"/>
              </w:rPr>
              <w:t xml:space="preserve">Eddy covariance</w:t>
            </w:r>
          </w:p>
        </w:tc>
        <w:tc>
          <w:tcPr/>
          <w:p>
            <w:pPr>
              <w:pStyle w:val="Compact"/>
              <w:jc w:val="left"/>
            </w:pPr>
            <w:r>
              <w:rPr>
                <w:lang w:val="en"/>
              </w:rPr>
              <w:t xml:space="preserve">Direct measurement of net ecosystem CO2 exchange (NEE) for intensive sites. NEE captures gas-phase flux only; do not substitute NEE for burial or vice versa. NEE and burial together approximate Net Ecosystem Carbon Balance (NECB) when combined with lateral flux and harvest terms (Chapin et al. 2006).</w:t>
            </w:r>
          </w:p>
        </w:tc>
      </w:tr>
    </w:tbl>
    <w:bookmarkStart w:id="118" w:name="sediment-carbon-burial-rate-measurement"/>
    <w:p>
      <w:pPr>
        <w:pStyle w:val="Heading4"/>
      </w:pPr>
      <w:r>
        <w:rPr>
          <w:lang w:val="en"/>
        </w:rPr>
        <w:t xml:space="preserve">Sediment carbon burial rate measurement</w:t>
      </w:r>
    </w:p>
    <w:p>
      <w:pPr>
        <w:pStyle w:val="FirstParagraph"/>
      </w:pPr>
      <w:hyperlink w:anchor="sediment-carbon-burial-rate-measurement">
        <w:r>
          <w:drawing>
            <wp:inline>
              <wp:extent cx="152400" cy="152400"/>
              <wp:effectExtent b="0" l="0" r="0" t="0"/>
              <wp:docPr descr="" title="" id="1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“Sediment carbon burial rate measurement”</w:t>
        </w:r>
      </w:hyperlink>
    </w:p>
    <w:bookmarkEnd w:id="118"/>
    <w:p>
      <w:pPr>
        <w:pStyle w:val="BodyText"/>
      </w:pPr>
      <w:r>
        <w:rPr>
          <w:lang w:val="en"/>
        </w:rPr>
        <w:t xml:space="preserve">¶1</w:t>
      </w:r>
      <w:r>
        <w:rPr>
          <w:lang w:val="en"/>
        </w:rPr>
        <w:t xml:space="preserve"> </w:t>
      </w:r>
      <w:r>
        <w:rPr>
          <w:lang w:val="en"/>
        </w:rPr>
        <w:t xml:space="preserve">The sediment carbon burial rate, also termed the organic carbon accumulation rate (CAR), measures carbon passing below the zone of active decomposition into stable, anoxic long-term storage. It is distinct from standing stock and from short-term surface accumulation.</w:t>
      </w:r>
    </w:p>
    <w:p>
      <w:pPr>
        <w:pStyle w:val="BodyText"/>
      </w:pPr>
      <w:r>
        <w:rPr>
          <w:lang w:val="en"/>
        </w:rPr>
        <w:t xml:space="preserve">¶2</w:t>
      </w:r>
      <w:r>
        <w:rPr>
          <w:lang w:val="en"/>
        </w:rPr>
        <w:t xml:space="preserve"> </w:t>
      </w:r>
      <w:r>
        <w:rPr>
          <w:bCs/>
          <w:b/>
          <w:lang w:val="en"/>
        </w:rPr>
        <w:t xml:space="preserve">Lead-210 (210Pb) CRS model — primary method:</w:t>
      </w:r>
      <w:r>
        <w:rPr>
          <w:lang w:val="en"/>
        </w:rPr>
        <w:t xml:space="preserve"> </w:t>
      </w:r>
      <w:r>
        <w:rPr>
          <w:lang w:val="en"/>
        </w:rPr>
        <w:t xml:space="preserve">The Constant Rate of Supply (CRS) model is recommended for vegetated coastal sediments, as it allows sedimentation rates to vary, which is appropriate for blue carbon systems. The carbon accumulation rate is:</w:t>
      </w:r>
    </w:p>
    <w:p>
      <w:pPr>
        <w:pStyle w:val="BodyText"/>
      </w:pPr>
      <w:r>
        <w:rPr>
          <w:lang w:val="en"/>
        </w:rPr>
        <w:t xml:space="preserve">¶3</w:t>
      </w:r>
      <w:r>
        <w:rPr>
          <w:lang w:val="en"/>
        </w:rPr>
        <w:t xml:space="preserve"> </w:t>
      </w:r>
      <w:r>
        <w:rPr>
          <w:bCs/>
          <w:b/>
          <w:lang w:val="en"/>
        </w:rPr>
        <w:t xml:space="preserve">CAR (g C/cm²/yr) = SAR x DBD x %OC</w:t>
      </w:r>
    </w:p>
    <w:p>
      <w:pPr>
        <w:pStyle w:val="BodyText"/>
      </w:pPr>
      <w:r>
        <w:rPr>
          <w:lang w:val="en"/>
        </w:rPr>
        <w:t xml:space="preserve">¶4</w:t>
      </w:r>
      <w:r>
        <w:rPr>
          <w:lang w:val="en"/>
        </w:rPr>
        <w:t xml:space="preserve"> </w:t>
      </w:r>
      <w:r>
        <w:rPr>
          <w:lang w:val="en"/>
        </w:rPr>
        <w:t xml:space="preserve">where SAR is sediment accumulation rate (cm/yr); DBD is dry bulk density (g/cm³); %OC is organic carbon content. To convert: 1 g C/cm²/yr = 100 tC/ha/yr.</w:t>
      </w:r>
    </w:p>
    <w:p>
      <w:pPr>
        <w:pStyle w:val="BodyText"/>
      </w:pPr>
      <w:r>
        <w:rPr>
          <w:lang w:val="en"/>
        </w:rPr>
        <w:t xml:space="preserve">¶5</w:t>
      </w:r>
      <w:r>
        <w:rPr>
          <w:lang w:val="en"/>
        </w:rPr>
        <w:t xml:space="preserve"> </w:t>
      </w:r>
      <w:r>
        <w:rPr>
          <w:lang w:val="en"/>
        </w:rPr>
        <w:t xml:space="preserve">Published global mean rates (Arias-Ortiz et al. 2018): mangroves approximately 1.74 tC/ha/yr (range 0.08—4.26); saltmarshes approximately 2.10 tC/ha/yr</w:t>
      </w:r>
      <w:hyperlink w:anchor="user-content-fn-45">
        <w:r>
          <w:rPr>
            <w:rStyle w:val="Hyperlink"/>
            <w:vertAlign w:val="superscript"/>
            <w:lang w:val="en"/>
          </w:rPr>
          <w:t xml:space="preserve">47</w:t>
        </w:r>
      </w:hyperlink>
      <w:r>
        <w:rPr>
          <w:lang w:val="en"/>
        </w:rPr>
        <w:t xml:space="preserve">.</w:t>
      </w:r>
    </w:p>
    <w:p>
      <w:pPr>
        <w:pStyle w:val="BodyText"/>
      </w:pPr>
      <w:r>
        <w:rPr>
          <w:lang w:val="en"/>
        </w:rPr>
        <w:t xml:space="preserve">¶6</w:t>
      </w:r>
      <w:r>
        <w:rPr>
          <w:lang w:val="en"/>
        </w:rPr>
        <w:t xml:space="preserve"> </w:t>
      </w:r>
      <w:r>
        <w:rPr>
          <w:bCs/>
          <w:b/>
          <w:lang w:val="en"/>
        </w:rPr>
        <w:t xml:space="preserve">Methodological note — mixed layer correction:</w:t>
      </w:r>
      <w:r>
        <w:rPr>
          <w:lang w:val="en"/>
        </w:rPr>
        <w:t xml:space="preserve"> </w:t>
      </w:r>
      <w:r>
        <w:rPr>
          <w:lang w:val="en"/>
        </w:rPr>
        <w:t xml:space="preserve">Calculate CAR from accumulation rates below the surface mixed layer. Using near-surface values inflates the estimate because carbon in the mixed layer is not yet durably stored (Piñeiro-Juncal et al. 2023).</w:t>
      </w:r>
    </w:p>
    <w:p>
      <w:pPr>
        <w:pStyle w:val="BodyText"/>
      </w:pPr>
      <w:r>
        <w:rPr>
          <w:lang w:val="en"/>
        </w:rPr>
        <w:t xml:space="preserve">¶7</w:t>
      </w:r>
      <w:r>
        <w:rPr>
          <w:lang w:val="en"/>
        </w:rPr>
        <w:t xml:space="preserve"> </w:t>
      </w:r>
      <w:r>
        <w:rPr>
          <w:bCs/>
          <w:b/>
          <w:lang w:val="en"/>
        </w:rPr>
        <w:t xml:space="preserve">Marker horizon method (feldspar plots) — operational alternative:</w:t>
      </w:r>
      <w:r>
        <w:rPr>
          <w:lang w:val="en"/>
        </w:rPr>
        <w:t xml:space="preserve"> </w:t>
      </w:r>
      <w:r>
        <w:rPr>
          <w:lang w:val="en"/>
        </w:rPr>
        <w:t xml:space="preserve">Feldspar clay spread across 50 x 50 cm plots captures recent accretion over months to years. Operationally simple but systematically overestimates long-term burial rates. Use only to characterise recent accretion dynamics. Do not extrapolate to centennial burial rates without correction (Cahoon et al. 1995)</w:t>
      </w:r>
      <w:hyperlink w:anchor="user-content-fn-46">
        <w:r>
          <w:rPr>
            <w:rStyle w:val="Hyperlink"/>
            <w:vertAlign w:val="superscript"/>
            <w:lang w:val="en"/>
          </w:rPr>
          <w:t xml:space="preserve">48</w:t>
        </w:r>
      </w:hyperlink>
      <w:r>
        <w:rPr>
          <w:lang w:val="en"/>
        </w:rPr>
        <w:t xml:space="preserve">.</w:t>
      </w:r>
    </w:p>
    <w:p>
      <w:pPr>
        <w:pStyle w:val="BodyText"/>
      </w:pPr>
      <w:r>
        <w:rPr>
          <w:lang w:val="en"/>
        </w:rPr>
        <w:t xml:space="preserve">¶8</w:t>
      </w:r>
      <w:r>
        <w:rPr>
          <w:lang w:val="en"/>
        </w:rPr>
        <w:t xml:space="preserve"> </w:t>
      </w:r>
      <w:r>
        <w:rPr>
          <w:lang w:val="en"/>
        </w:rPr>
        <w:t xml:space="preserve">Report the method used and time window. For 210Pb CRS, report as centennial mean and, where temporal variation is evident, as a 10- or 25-year recent average. For marker horizons, report as an explicit short-term estimate.</w:t>
      </w:r>
    </w:p>
    <w:bookmarkStart w:id="121" w:name="Xd32095c1e51b92414af9041a1c1eea13619a554"/>
    <w:p>
      <w:pPr>
        <w:pStyle w:val="Heading4"/>
      </w:pPr>
      <w:r>
        <w:rPr>
          <w:lang w:val="en"/>
        </w:rPr>
        <w:t xml:space="preserve">Human disturbance and the accounting treatment of emissions</w:t>
      </w:r>
    </w:p>
    <w:p>
      <w:pPr>
        <w:pStyle w:val="FirstParagraph"/>
      </w:pPr>
      <w:hyperlink w:anchor="Xd32095c1e51b92414af9041a1c1eea13619a554">
        <w:r>
          <w:drawing>
            <wp:inline>
              <wp:extent cx="152400" cy="152400"/>
              <wp:effectExtent b="0" l="0" r="0" t="0"/>
              <wp:docPr descr="" title="" id="1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“Human disturbance and the accounting treatment of emissions”</w:t>
        </w:r>
      </w:hyperlink>
    </w:p>
    <w:bookmarkEnd w:id="121"/>
    <w:p>
      <w:pPr>
        <w:pStyle w:val="BodyText"/>
      </w:pPr>
      <w:r>
        <w:rPr>
          <w:lang w:val="en"/>
        </w:rPr>
        <w:t xml:space="preserve">¶1</w:t>
      </w:r>
      <w:r>
        <w:rPr>
          <w:lang w:val="en"/>
        </w:rPr>
        <w:t xml:space="preserve"> </w:t>
      </w:r>
      <w:r>
        <w:rPr>
          <w:lang w:val="en"/>
        </w:rPr>
        <w:t xml:space="preserve">When a blue carbon ecosystem is disturbed or converted, the account captures consequences through three mechanisms</w:t>
      </w:r>
      <w:hyperlink w:anchor="user-content-fn-47">
        <w:r>
          <w:rPr>
            <w:rStyle w:val="Hyperlink"/>
            <w:vertAlign w:val="superscript"/>
            <w:lang w:val="en"/>
          </w:rPr>
          <w:t xml:space="preserve">49</w:t>
        </w:r>
      </w:hyperlink>
      <w:r>
        <w:rPr>
          <w:lang w:val="en"/>
        </w:rPr>
        <w:t xml:space="preserve">:</w:t>
      </w:r>
    </w:p>
    <w:p>
      <w:pPr>
        <w:numPr>
          <w:ilvl w:val="0"/>
          <w:numId w:val="1010"/>
        </w:numPr>
        <w:pStyle w:val="Compact"/>
      </w:pPr>
      <w:r>
        <w:rPr>
          <w:lang w:val="en"/>
        </w:rPr>
        <w:t xml:space="preserve">¶2</w:t>
      </w:r>
      <w:r>
        <w:rPr>
          <w:lang w:val="en"/>
        </w:rPr>
        <w:t xml:space="preserve"> </w:t>
      </w:r>
      <w:r>
        <w:rPr>
          <w:lang w:val="en"/>
        </w:rPr>
        <w:t xml:space="preserve">The</w:t>
      </w:r>
      <w:r>
        <w:rPr>
          <w:lang w:val="en"/>
        </w:rPr>
        <w:t xml:space="preserve"> </w:t>
      </w:r>
      <w:r>
        <w:rPr>
          <w:bCs/>
          <w:b/>
          <w:lang w:val="en"/>
        </w:rPr>
        <w:t xml:space="preserve">extent account</w:t>
      </w:r>
      <w:r>
        <w:rPr>
          <w:lang w:val="en"/>
        </w:rPr>
        <w:t xml:space="preserve"> </w:t>
      </w:r>
      <w:r>
        <w:rPr>
          <w:lang w:val="en"/>
        </w:rPr>
        <w:t xml:space="preserve">records area reduction (ha), disaggregated by conversion type (Section 3.1).</w:t>
      </w:r>
    </w:p>
    <w:p>
      <w:pPr>
        <w:numPr>
          <w:ilvl w:val="0"/>
          <w:numId w:val="1010"/>
        </w:numPr>
        <w:pStyle w:val="Compact"/>
      </w:pPr>
      <w:r>
        <w:rPr>
          <w:lang w:val="en"/>
        </w:rPr>
        <w:t xml:space="preserve">¶3</w:t>
      </w:r>
      <w:r>
        <w:rPr>
          <w:lang w:val="en"/>
        </w:rPr>
        <w:t xml:space="preserve"> </w:t>
      </w:r>
      <w:r>
        <w:rPr>
          <w:lang w:val="en"/>
        </w:rPr>
        <w:t xml:space="preserve">The</w:t>
      </w:r>
      <w:r>
        <w:rPr>
          <w:lang w:val="en"/>
        </w:rPr>
        <w:t xml:space="preserve"> </w:t>
      </w:r>
      <w:r>
        <w:rPr>
          <w:bCs/>
          <w:b/>
          <w:lang w:val="en"/>
        </w:rPr>
        <w:t xml:space="preserve">condition account</w:t>
      </w:r>
      <w:r>
        <w:rPr>
          <w:lang w:val="en"/>
        </w:rPr>
        <w:t xml:space="preserve"> </w:t>
      </w:r>
      <w:r>
        <w:rPr>
          <w:lang w:val="en"/>
        </w:rPr>
        <w:t xml:space="preserve">records carbon stock decline across all pools.</w:t>
      </w:r>
    </w:p>
    <w:p>
      <w:pPr>
        <w:numPr>
          <w:ilvl w:val="0"/>
          <w:numId w:val="1010"/>
        </w:numPr>
        <w:pStyle w:val="Compact"/>
      </w:pPr>
      <w:r>
        <w:rPr>
          <w:lang w:val="en"/>
        </w:rPr>
        <w:t xml:space="preserve">¶4</w:t>
      </w:r>
      <w:r>
        <w:rPr>
          <w:lang w:val="en"/>
        </w:rPr>
        <w:t xml:space="preserve"> </w:t>
      </w:r>
      <w:r>
        <w:rPr>
          <w:lang w:val="en"/>
        </w:rPr>
        <w:t xml:space="preserve">The</w:t>
      </w:r>
      <w:r>
        <w:rPr>
          <w:lang w:val="en"/>
        </w:rPr>
        <w:t xml:space="preserve"> </w:t>
      </w:r>
      <w:r>
        <w:rPr>
          <w:bCs/>
          <w:b/>
          <w:lang w:val="en"/>
        </w:rPr>
        <w:t xml:space="preserve">services flow account</w:t>
      </w:r>
      <w:r>
        <w:rPr>
          <w:lang w:val="en"/>
        </w:rPr>
        <w:t xml:space="preserve"> </w:t>
      </w:r>
      <w:r>
        <w:rPr>
          <w:lang w:val="en"/>
        </w:rPr>
        <w:t xml:space="preserve">records change in service supply: where NECB falls to zero or below following disturbance, the carbon sequestration service entry is set to zero (SEEA EA para. 6.114). Emission pulses are not recorded as negative service flows.</w:t>
      </w:r>
    </w:p>
    <w:p>
      <w:pPr>
        <w:pStyle w:val="FirstParagraph"/>
      </w:pPr>
      <w:r>
        <w:rPr>
          <w:lang w:val="en"/>
        </w:rPr>
        <w:t xml:space="preserve">¶5</w:t>
      </w:r>
      <w:r>
        <w:rPr>
          <w:lang w:val="en"/>
        </w:rPr>
        <w:t xml:space="preserve"> </w:t>
      </w:r>
      <w:r>
        <w:rPr>
          <w:lang w:val="en"/>
        </w:rPr>
        <w:t xml:space="preserve">The physical measure for the carbon sequestration service is the Net Ecosystem Carbon Balance (NECB), preferred over Net Ecosystem Productivity because NECB additionally captures disturbance losses, harvest, and lateral fluxes.</w:t>
      </w:r>
    </w:p>
    <w:p>
      <w:pPr>
        <w:pStyle w:val="BodyText"/>
      </w:pPr>
      <w:r>
        <w:rPr>
          <w:lang w:val="en"/>
        </w:rPr>
        <w:t xml:space="preserve">¶6</w:t>
      </w:r>
      <w:r>
        <w:rPr>
          <w:lang w:val="en"/>
        </w:rPr>
        <w:t xml:space="preserve"> </w:t>
      </w:r>
      <w:r>
        <w:rPr>
          <w:lang w:val="en"/>
        </w:rPr>
        <w:t xml:space="preserve">Emission pulses from conversion are directed to the SEEA-CF Air Emission Accounts and to the SEEA-CF Thematic Carbon Stock Account (SEEA-CF 2028 Guidance Note D1, November 2025). Apply IPCC 2013 Wetlands Supplement Chapter 4 emission factors</w:t>
      </w:r>
      <w:hyperlink w:anchor="user-content-fn-48">
        <w:r>
          <w:rPr>
            <w:rStyle w:val="Hyperlink"/>
            <w:vertAlign w:val="superscript"/>
            <w:lang w:val="en"/>
          </w:rPr>
          <w:t xml:space="preserve">50</w:t>
        </w:r>
      </w:hyperlink>
      <w:r>
        <w:rPr>
          <w:lang w:val="en"/>
        </w:rP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Pool</w:t>
            </w:r>
          </w:p>
        </w:tc>
        <w:tc>
          <w:tcPr/>
          <w:p>
            <w:pPr>
              <w:pStyle w:val="Compact"/>
              <w:jc w:val="left"/>
            </w:pPr>
            <w:r>
              <w:rPr>
                <w:lang w:val="en"/>
              </w:rPr>
              <w:t xml:space="preserve">Conversion driver</w:t>
            </w:r>
          </w:p>
        </w:tc>
        <w:tc>
          <w:tcPr/>
          <w:p>
            <w:pPr>
              <w:pStyle w:val="Compact"/>
              <w:jc w:val="left"/>
            </w:pPr>
            <w:r>
              <w:rPr>
                <w:lang w:val="en"/>
              </w:rPr>
              <w:t xml:space="preserve">Default emission factor (IPCC 2013 WS)</w:t>
            </w:r>
          </w:p>
        </w:tc>
        <w:tc>
          <w:tcPr/>
          <w:p>
            <w:pPr>
              <w:pStyle w:val="Compact"/>
              <w:jc w:val="left"/>
            </w:pPr>
            <w:r>
              <w:rPr>
                <w:lang w:val="en"/>
              </w:rPr>
              <w:t xml:space="preserve">Time profile</w:t>
            </w:r>
          </w:p>
        </w:tc>
      </w:tr>
      <w:tr>
        <w:tc>
          <w:tcPr/>
          <w:p>
            <w:pPr>
              <w:pStyle w:val="Compact"/>
              <w:jc w:val="left"/>
            </w:pPr>
            <w:r>
              <w:rPr>
                <w:lang w:val="en"/>
              </w:rPr>
              <w:t xml:space="preserve">Above-ground biomass</w:t>
            </w:r>
          </w:p>
        </w:tc>
        <w:tc>
          <w:tcPr/>
          <w:p>
            <w:pPr>
              <w:pStyle w:val="Compact"/>
              <w:jc w:val="left"/>
            </w:pPr>
            <w:r>
              <w:rPr>
                <w:lang w:val="en"/>
              </w:rPr>
              <w:t xml:space="preserve">Clear-cut (any driver)</w:t>
            </w:r>
          </w:p>
        </w:tc>
        <w:tc>
          <w:tcPr/>
          <w:p>
            <w:pPr>
              <w:pStyle w:val="Compact"/>
              <w:jc w:val="left"/>
            </w:pPr>
            <w:r>
              <w:rPr>
                <w:lang w:val="en"/>
              </w:rPr>
              <w:t xml:space="preserve">(1 — harvested wood C retention fraction) x AGB stock</w:t>
            </w:r>
          </w:p>
        </w:tc>
        <w:tc>
          <w:tcPr/>
          <w:p>
            <w:pPr>
              <w:pStyle w:val="Compact"/>
              <w:jc w:val="left"/>
            </w:pPr>
            <w:r>
              <w:rPr>
                <w:lang w:val="en"/>
              </w:rPr>
              <w:t xml:space="preserve">Year of conversion</w:t>
            </w:r>
          </w:p>
        </w:tc>
      </w:tr>
      <w:tr>
        <w:tc>
          <w:tcPr/>
          <w:p>
            <w:pPr>
              <w:pStyle w:val="Compact"/>
              <w:jc w:val="left"/>
            </w:pPr>
            <w:r>
              <w:rPr>
                <w:lang w:val="en"/>
              </w:rPr>
              <w:t xml:space="preserve">Soil organic carbon (0—1 m)</w:t>
            </w:r>
          </w:p>
        </w:tc>
        <w:tc>
          <w:tcPr/>
          <w:p>
            <w:pPr>
              <w:pStyle w:val="Compact"/>
              <w:jc w:val="left"/>
            </w:pPr>
            <w:r>
              <w:rPr>
                <w:lang w:val="en"/>
              </w:rPr>
              <w:t xml:space="preserve">Drainage for aquaculture, agriculture, settlements</w:t>
            </w:r>
          </w:p>
        </w:tc>
        <w:tc>
          <w:tcPr/>
          <w:p>
            <w:pPr>
              <w:pStyle w:val="Compact"/>
              <w:jc w:val="left"/>
            </w:pPr>
            <w:r>
              <w:rPr>
                <w:bCs/>
                <w:b/>
                <w:lang w:val="en"/>
              </w:rPr>
              <w:t xml:space="preserve">7.9 tC/ha/yr</w:t>
            </w:r>
            <w:r>
              <w:rPr>
                <w:lang w:val="en"/>
              </w:rPr>
              <w:t xml:space="preserve"> </w:t>
            </w:r>
            <w:r>
              <w:rPr>
                <w:lang w:val="en"/>
              </w:rPr>
              <w:t xml:space="preserve">(~29 tCO2/ha/yr) — tropical default for drained mangrove soils (Table 4.13, Section 4.2.2)</w:t>
            </w:r>
          </w:p>
        </w:tc>
        <w:tc>
          <w:tcPr/>
          <w:p>
            <w:pPr>
              <w:pStyle w:val="Compact"/>
              <w:jc w:val="left"/>
            </w:pPr>
            <w:r>
              <w:rPr>
                <w:lang w:val="en"/>
              </w:rPr>
              <w:t xml:space="preserve">20 years post-drainage</w:t>
            </w:r>
          </w:p>
        </w:tc>
      </w:tr>
      <w:tr>
        <w:tc>
          <w:tcPr/>
          <w:p>
            <w:pPr>
              <w:pStyle w:val="Compact"/>
              <w:jc w:val="left"/>
            </w:pPr>
            <w:r>
              <w:rPr>
                <w:lang w:val="en"/>
              </w:rPr>
              <w:t xml:space="preserve">Soil organic carbon (0—1 m)</w:t>
            </w:r>
          </w:p>
        </w:tc>
        <w:tc>
          <w:tcPr/>
          <w:p>
            <w:pPr>
              <w:pStyle w:val="Compact"/>
              <w:jc w:val="left"/>
            </w:pPr>
            <w:r>
              <w:rPr>
                <w:lang w:val="en"/>
              </w:rPr>
              <w:t xml:space="preserve">Erosion exposing buried C</w:t>
            </w:r>
          </w:p>
        </w:tc>
        <w:tc>
          <w:tcPr/>
          <w:p>
            <w:pPr>
              <w:pStyle w:val="Compact"/>
              <w:jc w:val="left"/>
            </w:pPr>
            <w:r>
              <w:rPr>
                <w:lang w:val="en"/>
              </w:rPr>
              <w:t xml:space="preserve">Site-specific (no Tier 1 default)</w:t>
            </w:r>
          </w:p>
        </w:tc>
        <w:tc>
          <w:tcPr/>
          <w:p>
            <w:pPr>
              <w:pStyle w:val="Compact"/>
              <w:jc w:val="left"/>
            </w:pPr>
            <w:r>
              <w:rPr>
                <w:lang w:val="en"/>
              </w:rPr>
              <w:t xml:space="preserve">Year of exposure</w:t>
            </w:r>
          </w:p>
        </w:tc>
      </w:tr>
      <w:tr>
        <w:tc>
          <w:tcPr/>
          <w:p>
            <w:pPr>
              <w:pStyle w:val="Compact"/>
              <w:jc w:val="left"/>
            </w:pPr>
            <w:r>
              <w:rPr>
                <w:lang w:val="en"/>
              </w:rPr>
              <w:t xml:space="preserve">Below-ground biomass</w:t>
            </w:r>
          </w:p>
        </w:tc>
        <w:tc>
          <w:tcPr/>
          <w:p>
            <w:pPr>
              <w:pStyle w:val="Compact"/>
              <w:jc w:val="left"/>
            </w:pPr>
            <w:r>
              <w:rPr>
                <w:lang w:val="en"/>
              </w:rPr>
              <w:t xml:space="preserve">Conversion</w:t>
            </w:r>
          </w:p>
        </w:tc>
        <w:tc>
          <w:tcPr/>
          <w:p>
            <w:pPr>
              <w:pStyle w:val="Compact"/>
              <w:jc w:val="left"/>
            </w:pPr>
            <w:r>
              <w:rPr>
                <w:lang w:val="en"/>
              </w:rPr>
              <w:t xml:space="preserve">Released with AGB unless retained as residue</w:t>
            </w:r>
          </w:p>
        </w:tc>
        <w:tc>
          <w:tcPr/>
          <w:p>
            <w:pPr>
              <w:pStyle w:val="Compact"/>
              <w:jc w:val="left"/>
            </w:pPr>
            <w:r>
              <w:rPr>
                <w:lang w:val="en"/>
              </w:rPr>
              <w:t xml:space="preserve">Year of conversion</w:t>
            </w:r>
          </w:p>
        </w:tc>
      </w:tr>
    </w:tbl>
    <w:p>
      <w:pPr>
        <w:pStyle w:val="BodyText"/>
      </w:pPr>
      <w:r>
        <w:rPr>
          <w:lang w:val="en"/>
        </w:rPr>
        <w:t xml:space="preserve">¶7</w:t>
      </w:r>
      <w:r>
        <w:rPr>
          <w:lang w:val="en"/>
        </w:rPr>
        <w:t xml:space="preserve"> </w:t>
      </w:r>
      <w:r>
        <w:rPr>
          <w:lang w:val="en"/>
        </w:rPr>
        <w:t xml:space="preserve">The 7.9 tC/ha/yr factor is expressed in tonnes of carbon. Multiply by 44/12 for tCO2e. Cross-reference</w:t>
      </w:r>
      <w:r>
        <w:rPr>
          <w:lang w:val="en"/>
        </w:rPr>
        <w:t xml:space="preserve"> </w:t>
      </w:r>
      <w:hyperlink r:id="rId32">
        <w:r>
          <w:rPr>
            <w:rStyle w:val="Hyperlink"/>
            <w:bCs/>
            <w:b/>
            <w:lang w:val="en"/>
          </w:rPr>
          <w:t xml:space="preserve">TG-2.8 Climate Change Indicators</w:t>
        </w:r>
      </w:hyperlink>
      <w:r>
        <w:rPr>
          <w:lang w:val="en"/>
        </w:rPr>
        <w:t xml:space="preserve"> </w:t>
      </w:r>
      <w:r>
        <w:rPr>
          <w:lang w:val="en"/>
        </w:rPr>
        <w:t xml:space="preserve">for NDC reporting.</w:t>
      </w:r>
    </w:p>
    <w:bookmarkStart w:id="124" w:name="X6ea84c5b3a16e1319bc6f94016f3a6d10d15b02"/>
    <w:p>
      <w:pPr>
        <w:pStyle w:val="Heading4"/>
      </w:pPr>
      <w:r>
        <w:rPr>
          <w:lang w:val="en"/>
        </w:rPr>
        <w:t xml:space="preserve">Permanence and reversibility — accounting treatment</w:t>
      </w:r>
    </w:p>
    <w:p>
      <w:pPr>
        <w:pStyle w:val="FirstParagraph"/>
      </w:pPr>
      <w:hyperlink w:anchor="X6ea84c5b3a16e1319bc6f94016f3a6d10d15b02">
        <w:r>
          <w:drawing>
            <wp:inline>
              <wp:extent cx="152400" cy="152400"/>
              <wp:effectExtent b="0" l="0" r="0" t="0"/>
              <wp:docPr descr="" title="" id="1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“Permanence and reversibility — accounting treatment”</w:t>
        </w:r>
      </w:hyperlink>
    </w:p>
    <w:bookmarkEnd w:id="124"/>
    <w:p>
      <w:pPr>
        <w:pStyle w:val="BodyText"/>
      </w:pPr>
      <w:r>
        <w:rPr>
          <w:lang w:val="en"/>
        </w:rPr>
        <w:t xml:space="preserve">¶1</w:t>
      </w:r>
      <w:r>
        <w:rPr>
          <w:lang w:val="en"/>
        </w:rPr>
        <w:t xml:space="preserve"> </w:t>
      </w:r>
      <w:r>
        <w:rPr>
          <w:lang w:val="en"/>
        </w:rPr>
        <w:t xml:space="preserve">Physical carbon stocks are recorded at their measured face value. Risk adjustment belongs to the monetary valuation layer, not the physical account (SEEA EA para. 6.115)</w:t>
      </w:r>
      <w:hyperlink w:anchor="user-content-fn-49">
        <w:r>
          <w:rPr>
            <w:rStyle w:val="Hyperlink"/>
            <w:vertAlign w:val="superscript"/>
            <w:lang w:val="en"/>
          </w:rPr>
          <w:t xml:space="preserve">51</w:t>
        </w:r>
      </w:hyperlink>
      <w:r>
        <w:rPr>
          <w:lang w:val="en"/>
        </w:rPr>
        <w:t xml:space="preserve">.</w:t>
      </w:r>
    </w:p>
    <w:p>
      <w:pPr>
        <w:pStyle w:val="BodyText"/>
      </w:pPr>
      <w:r>
        <w:rPr>
          <w:lang w:val="en"/>
        </w:rPr>
        <w:t xml:space="preserve">¶2</w:t>
      </w:r>
      <w:r>
        <w:rPr>
          <w:lang w:val="en"/>
        </w:rPr>
        <w:t xml:space="preserve"> </w:t>
      </w:r>
      <w:r>
        <w:rPr>
          <w:lang w:val="en"/>
        </w:rPr>
        <w:t xml:space="preserve">SEEA EA para. 6.114: “Where net carbon sequestration is zero or negative, the level of service supplied by an ecosystem is zero.” A “permanence buffer” is a voluntary carbon market mechanism (e.g., Verra VM0033) and must not be applied to SEEA EA physical accounts.</w:t>
      </w:r>
    </w:p>
    <w:p>
      <w:pPr>
        <w:pStyle w:val="BodyText"/>
      </w:pPr>
      <w:r>
        <w:rPr>
          <w:lang w:val="en"/>
        </w:rPr>
        <w:t xml:space="preserve">¶3</w:t>
      </w:r>
      <w:r>
        <w:rPr>
          <w:lang w:val="en"/>
        </w:rPr>
        <w:t xml:space="preserve"> </w:t>
      </w:r>
      <w:r>
        <w:rPr>
          <w:lang w:val="en"/>
        </w:rPr>
        <w:t xml:space="preserve">Where blue carbon ecosystems are identified as “at risk”: (a) prioritise high-quality measurement of the retention component (opening stock in tCO2e); and (b) update stock measurements more frequently, annually if feasible</w:t>
      </w:r>
      <w:hyperlink w:anchor="user-content-fn-50">
        <w:r>
          <w:rPr>
            <w:rStyle w:val="Hyperlink"/>
            <w:vertAlign w:val="superscript"/>
            <w:lang w:val="en"/>
          </w:rPr>
          <w:t xml:space="preserve">52</w:t>
        </w:r>
      </w:hyperlink>
      <w:r>
        <w:rPr>
          <w:lang w:val="en"/>
        </w:rPr>
        <w:t xml:space="preserve">.</w:t>
      </w:r>
    </w:p>
    <w:bookmarkStart w:id="127" w:name="non-co2-greenhouse-gases-ch4-and-n2o"/>
    <w:p>
      <w:pPr>
        <w:pStyle w:val="Heading4"/>
      </w:pPr>
      <w:r>
        <w:rPr>
          <w:lang w:val="en"/>
        </w:rPr>
        <w:t xml:space="preserve">Non-CO2 greenhouse gases (CH4 and N2O)</w:t>
      </w:r>
    </w:p>
    <w:p>
      <w:pPr>
        <w:pStyle w:val="FirstParagraph"/>
      </w:pPr>
      <w:hyperlink w:anchor="non-co2-greenhouse-gases-ch4-and-n2o">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“Non-CO2 greenhouse gases (CH4 and N2O)”</w:t>
        </w:r>
      </w:hyperlink>
    </w:p>
    <w:bookmarkEnd w:id="127"/>
    <w:p>
      <w:pPr>
        <w:pStyle w:val="BodyText"/>
      </w:pPr>
      <w:r>
        <w:rPr>
          <w:lang w:val="en"/>
        </w:rPr>
        <w:t xml:space="preserve">¶1</w:t>
      </w:r>
      <w:r>
        <w:rPr>
          <w:lang w:val="en"/>
        </w:rPr>
        <w:t xml:space="preserve"> </w:t>
      </w:r>
      <w:r>
        <w:rPr>
          <w:lang w:val="en"/>
        </w:rPr>
        <w:t xml:space="preserve">CH4 (methane) contains one carbon atom per molecule and can be included in the carbon account expressed in tonnes of carbon. N2O contains no carbon and is out of scope for the carbon account</w:t>
      </w:r>
      <w:hyperlink w:anchor="user-content-fn-51">
        <w:r>
          <w:rPr>
            <w:rStyle w:val="Hyperlink"/>
            <w:vertAlign w:val="superscript"/>
            <w:lang w:val="en"/>
          </w:rPr>
          <w:t xml:space="preserve">53</w:t>
        </w:r>
      </w:hyperlink>
      <w:r>
        <w:rPr>
          <w:lang w:val="en"/>
        </w:rPr>
        <w:t xml:space="preserve">.</w:t>
      </w:r>
    </w:p>
    <w:p>
      <w:pPr>
        <w:pStyle w:val="BodyText"/>
      </w:pPr>
      <w:r>
        <w:rPr>
          <w:lang w:val="en"/>
        </w:rPr>
        <w:t xml:space="preserve">¶2</w:t>
      </w:r>
      <w:r>
        <w:rPr>
          <w:lang w:val="en"/>
        </w:rPr>
        <w:t xml:space="preserve"> </w:t>
      </w:r>
      <w:r>
        <w:rPr>
          <w:bCs/>
          <w:b/>
          <w:lang w:val="en"/>
        </w:rPr>
        <w:t xml:space="preserve">Methane:</w:t>
      </w:r>
      <w:r>
        <w:rPr>
          <w:lang w:val="en"/>
        </w:rPr>
        <w:t xml:space="preserve"> </w:t>
      </w:r>
      <w:r>
        <w:rPr>
          <w:lang w:val="en"/>
        </w:rPr>
        <w:t xml:space="preserve">Include as an additional row in the carbon service account expressed in tC. A bridge table linking the carbon account (tC) to a GHG account (tCO2e) is recommended as a supplementary output. Where CH4 flux measurements are unavailable, apply IPCC Tier 1 defaults and document the omission.</w:t>
      </w:r>
    </w:p>
    <w:p>
      <w:pPr>
        <w:pStyle w:val="BodyText"/>
      </w:pPr>
      <w:r>
        <w:rPr>
          <w:lang w:val="en"/>
        </w:rPr>
        <w:t xml:space="preserve">¶3</w:t>
      </w:r>
      <w:r>
        <w:rPr>
          <w:lang w:val="en"/>
        </w:rPr>
        <w:t xml:space="preserve"> </w:t>
      </w:r>
      <w:r>
        <w:rPr>
          <w:lang w:val="en"/>
        </w:rPr>
        <w:t xml:space="preserve">Peer-reviewed evidence (Rosentreter et al. 2021, 2022) confirms CH4 emissions from tropical coastal wetlands can substantially offset CO2 sequestration benefits when expressed in CO2e.</w:t>
      </w:r>
    </w:p>
    <w:p>
      <w:pPr>
        <w:pStyle w:val="BodyText"/>
      </w:pPr>
      <w:r>
        <w:rPr>
          <w:lang w:val="en"/>
        </w:rPr>
        <w:t xml:space="preserve">¶4</w:t>
      </w:r>
      <w:r>
        <w:rPr>
          <w:lang w:val="en"/>
        </w:rPr>
        <w:t xml:space="preserve"> </w:t>
      </w:r>
      <w:r>
        <w:rPr>
          <w:bCs/>
          <w:b/>
          <w:lang w:val="en"/>
        </w:rPr>
        <w:t xml:space="preserve">Supplementary GHG budget table:</w:t>
      </w:r>
      <w:r>
        <w:rPr>
          <w:lang w:val="en"/>
        </w:rPr>
        <w:t xml:space="preserve"> </w:t>
      </w:r>
      <w:r>
        <w:rPr>
          <w:lang w:val="en"/>
        </w:rPr>
        <w:t xml:space="preserve">Where a complete climate assessment is required, compile a supplementary table: CO2, CH4 (x GWP100 = 28), N2O (x GWP100 = 265), expressed as tCO2e/yr. This is supplementary and does not modify the core carbon account structure.</w:t>
      </w:r>
    </w:p>
    <w:bookmarkStart w:id="130" w:name="X9ef7d182e57abe8a75c5a6c21286e83e9a6f0c5"/>
    <w:p>
      <w:pPr>
        <w:pStyle w:val="Heading4"/>
      </w:pPr>
      <w:r>
        <w:rPr>
          <w:lang w:val="en"/>
        </w:rPr>
        <w:t xml:space="preserve">Tidal export and lateral carbon fluxes — scope note</w:t>
      </w:r>
    </w:p>
    <w:p>
      <w:pPr>
        <w:pStyle w:val="FirstParagraph"/>
      </w:pPr>
      <w:hyperlink w:anchor="X9ef7d182e57abe8a75c5a6c21286e83e9a6f0c5">
        <w:r>
          <w:drawing>
            <wp:inline>
              <wp:extent cx="152400" cy="152400"/>
              <wp:effectExtent b="0" l="0" r="0" t="0"/>
              <wp:docPr descr="" title="" id="12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“Tidal export and lateral carbon fluxes — scope note”</w:t>
        </w:r>
      </w:hyperlink>
    </w:p>
    <w:bookmarkEnd w:id="130"/>
    <w:p>
      <w:pPr>
        <w:pStyle w:val="BodyText"/>
      </w:pPr>
      <w:r>
        <w:rPr>
          <w:lang w:val="en"/>
        </w:rPr>
        <w:t xml:space="preserve">¶1</w:t>
      </w:r>
      <w:r>
        <w:rPr>
          <w:lang w:val="en"/>
        </w:rPr>
        <w:t xml:space="preserve"> </w:t>
      </w:r>
      <w:r>
        <w:rPr>
          <w:lang w:val="en"/>
        </w:rPr>
        <w:t xml:space="preserve">Lateral carbon fluxes (DOC, POC, macroalgae from coastal ecosystems to the open ocean) are out of scope. No agreed accounting methodology exists, and attribution and permanence cannot be reliably established under any adopted framework</w:t>
      </w:r>
      <w:hyperlink w:anchor="user-content-fn-52">
        <w:r>
          <w:rPr>
            <w:rStyle w:val="Hyperlink"/>
            <w:vertAlign w:val="superscript"/>
            <w:lang w:val="en"/>
          </w:rPr>
          <w:t xml:space="preserve">54</w:t>
        </w:r>
      </w:hyperlink>
      <w:r>
        <w:rPr>
          <w:lang w:val="en"/>
        </w:rPr>
        <w:t xml:space="preserve">. Excluding lateral export introduces a conservative bias. Mangroves export an estimated 11—56 tC/ha/yr as POC and DOC (Bouillon et al. 2008). Future iterations will incorporate lateral export guidance as the evidence base matures.</w:t>
      </w:r>
    </w:p>
    <w:bookmarkStart w:id="133" w:name="Xfa1c622ca43032e2e36ea34997d05e3e827f928"/>
    <w:p>
      <w:pPr>
        <w:pStyle w:val="Heading4"/>
      </w:pPr>
      <w:r>
        <w:rPr>
          <w:lang w:val="en"/>
        </w:rPr>
        <w:t xml:space="preserve">Linking blue carbon accounts to national GHG inventories</w:t>
      </w:r>
    </w:p>
    <w:p>
      <w:pPr>
        <w:pStyle w:val="FirstParagraph"/>
      </w:pPr>
      <w:hyperlink w:anchor="Xfa1c622ca43032e2e36ea34997d05e3e827f928">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“Linking blue carbon accounts to national GHG inventories”</w:t>
        </w:r>
      </w:hyperlink>
    </w:p>
    <w:bookmarkEnd w:id="133"/>
    <w:p>
      <w:pPr>
        <w:pStyle w:val="BodyText"/>
      </w:pPr>
      <w:r>
        <w:rPr>
          <w:lang w:val="en"/>
        </w:rPr>
        <w:t xml:space="preserve">¶1</w:t>
      </w:r>
      <w:r>
        <w:rPr>
          <w:lang w:val="en"/>
        </w:rPr>
        <w:t xml:space="preserve"> </w:t>
      </w:r>
      <w:r>
        <w:rPr>
          <w:lang w:val="en"/>
        </w:rPr>
        <w:t xml:space="preserve">Blue carbon ecosystem accounts are ecosystem accounts under the SEEA EA spatial perspective. National GHG inventories use the IPCC sector-based LULUCF framework. The two are complementary but not directly interchangeable</w:t>
      </w:r>
      <w:hyperlink w:anchor="user-content-fn-53">
        <w:r>
          <w:rPr>
            <w:rStyle w:val="Hyperlink"/>
            <w:vertAlign w:val="superscript"/>
            <w:lang w:val="en"/>
          </w:rPr>
          <w:t xml:space="preserve">55</w:t>
        </w:r>
      </w:hyperlink>
      <w:r>
        <w:rPr>
          <w:lang w:val="en"/>
        </w:rPr>
        <w:t xml:space="preserve">.</w:t>
      </w:r>
    </w:p>
    <w:p>
      <w:pPr>
        <w:pStyle w:val="BodyText"/>
      </w:pPr>
      <w:r>
        <w:rPr>
          <w:lang w:val="en"/>
        </w:rPr>
        <w:t xml:space="preserve">¶2</w:t>
      </w:r>
      <w:r>
        <w:rPr>
          <w:lang w:val="en"/>
        </w:rPr>
        <w:t xml:space="preserve"> </w:t>
      </w:r>
      <w:r>
        <w:rPr>
          <w:lang w:val="en"/>
        </w:rPr>
        <w:t xml:space="preserve">The carbon sequestration service flow (NECB &gt; 0, tCO2e/yr) corresponds directly to the sink function reported in LULUCF 4.C.1 (Coastal Wetlands). The extent account provides IPCC activity data. The retention service (opening stock, tCO2e) has no direct UNFCCC inventory equivalent.</w:t>
      </w:r>
    </w:p>
    <w:p>
      <w:pPr>
        <w:pStyle w:val="BodyText"/>
      </w:pPr>
      <w:r>
        <w:rPr>
          <w:lang w:val="en"/>
        </w:rPr>
        <w:t xml:space="preserve">¶3</w:t>
      </w:r>
      <w:r>
        <w:rPr>
          <w:lang w:val="en"/>
        </w:rPr>
        <w:t xml:space="preserve"> </w:t>
      </w:r>
      <w:r>
        <w:rPr>
          <w:bCs/>
          <w:b/>
          <w:lang w:val="en"/>
        </w:rPr>
        <w:t xml:space="preserve">IPCC reporting category and unit conversion:</w:t>
      </w:r>
      <w:r>
        <w:rPr>
          <w:lang w:val="en"/>
        </w:rPr>
        <w:t xml:space="preserve"> </w:t>
      </w:r>
      <w:r>
        <w:rPr>
          <w:lang w:val="en"/>
        </w:rPr>
        <w:t xml:space="preserve">Blue carbon ecosystems are reported under LULUCF subcategory</w:t>
      </w:r>
      <w:r>
        <w:rPr>
          <w:lang w:val="en"/>
        </w:rPr>
        <w:t xml:space="preserve"> </w:t>
      </w:r>
      <w:r>
        <w:rPr>
          <w:bCs/>
          <w:b/>
          <w:lang w:val="en"/>
        </w:rPr>
        <w:t xml:space="preserve">4.C.1 — Coastal Wetlands</w:t>
      </w:r>
      <w:r>
        <w:rPr>
          <w:lang w:val="en"/>
        </w:rPr>
        <w:t xml:space="preserve">. Multiply NECB in tC/yr by</w:t>
      </w:r>
      <w:r>
        <w:rPr>
          <w:lang w:val="en"/>
        </w:rPr>
        <w:t xml:space="preserve"> </w:t>
      </w:r>
      <w:r>
        <w:rPr>
          <w:bCs/>
          <w:b/>
          <w:lang w:val="en"/>
        </w:rPr>
        <w:t xml:space="preserve">3.664</w:t>
      </w:r>
      <w:r>
        <w:rPr>
          <w:lang w:val="en"/>
        </w:rPr>
        <w:t xml:space="preserve"> </w:t>
      </w:r>
      <w:r>
        <w:rPr>
          <w:lang w:val="en"/>
        </w:rPr>
        <w:t xml:space="preserve">to obtain tCO2/yr, and multiply carbon stocks in tC by 3.664 for tCO2e comparison.</w:t>
      </w:r>
    </w:p>
    <w:p>
      <w:pPr>
        <w:pStyle w:val="BodyText"/>
      </w:pPr>
      <w:r>
        <w:rPr>
          <w:lang w:val="en"/>
        </w:rPr>
        <w:t xml:space="preserve">¶4</w:t>
      </w:r>
      <w:r>
        <w:rPr>
          <w:lang w:val="en"/>
        </w:rPr>
        <w:t xml:space="preserve"> </w:t>
      </w:r>
      <w:r>
        <w:rPr>
          <w:bCs/>
          <w:b/>
          <w:lang w:val="en"/>
        </w:rPr>
        <w:t xml:space="preserve">Crosswalk — SEEA extent account to IPCC activity data:</w:t>
      </w:r>
    </w:p>
    <w:p>
      <w:pPr>
        <w:numPr>
          <w:ilvl w:val="0"/>
          <w:numId w:val="1011"/>
        </w:numPr>
        <w:pStyle w:val="Compact"/>
      </w:pPr>
      <w:r>
        <w:rPr>
          <w:lang w:val="en"/>
        </w:rPr>
        <w:t xml:space="preserve">¶5</w:t>
      </w:r>
      <w:r>
        <w:rPr>
          <w:lang w:val="en"/>
        </w:rPr>
        <w:t xml:space="preserve"> </w:t>
      </w:r>
      <w:r>
        <w:rPr>
          <w:lang w:val="en"/>
        </w:rPr>
        <w:t xml:space="preserve">Managed reductions (aquaculture conversion) → IPCC “Land converted to Settlements” or “Land converted to Cropland”</w:t>
      </w:r>
    </w:p>
    <w:p>
      <w:pPr>
        <w:numPr>
          <w:ilvl w:val="0"/>
          <w:numId w:val="1011"/>
        </w:numPr>
        <w:pStyle w:val="Compact"/>
      </w:pPr>
      <w:r>
        <w:rPr>
          <w:lang w:val="en"/>
        </w:rPr>
        <w:t xml:space="preserve">¶6</w:t>
      </w:r>
      <w:r>
        <w:rPr>
          <w:lang w:val="en"/>
        </w:rPr>
        <w:t xml:space="preserve"> </w:t>
      </w:r>
      <w:r>
        <w:rPr>
          <w:lang w:val="en"/>
        </w:rPr>
        <w:t xml:space="preserve">Unmanaged reductions (erosion/SLR) → IPCC “Wetlands remaining Wetlands” with degradation flag</w:t>
      </w:r>
    </w:p>
    <w:p>
      <w:pPr>
        <w:numPr>
          <w:ilvl w:val="0"/>
          <w:numId w:val="1011"/>
        </w:numPr>
        <w:pStyle w:val="Compact"/>
      </w:pPr>
      <w:r>
        <w:rPr>
          <w:lang w:val="en"/>
        </w:rPr>
        <w:t xml:space="preserve">¶7</w:t>
      </w:r>
      <w:r>
        <w:rPr>
          <w:lang w:val="en"/>
        </w:rPr>
        <w:t xml:space="preserve"> </w:t>
      </w:r>
      <w:r>
        <w:rPr>
          <w:lang w:val="en"/>
        </w:rPr>
        <w:t xml:space="preserve">Managed expansions (restoration) → IPCC “Land converted to Wetlands (revegetation)”</w:t>
      </w:r>
    </w:p>
    <w:p>
      <w:pPr>
        <w:pStyle w:val="FirstParagraph"/>
      </w:pPr>
      <w:r>
        <w:rPr>
          <w:lang w:val="en"/>
        </w:rPr>
        <w:t xml:space="preserve">¶8</w:t>
      </w:r>
      <w:r>
        <w:rPr>
          <w:lang w:val="en"/>
        </w:rPr>
        <w:t xml:space="preserve"> </w:t>
      </w:r>
      <w:r>
        <w:rPr>
          <w:bCs/>
          <w:b/>
          <w:lang w:val="en"/>
        </w:rPr>
        <w:t xml:space="preserve">Large coastal wetland countries and peat-specific guidance:</w:t>
      </w:r>
      <w:r>
        <w:rPr>
          <w:lang w:val="en"/>
        </w:rPr>
        <w:t xml:space="preserve"> </w:t>
      </w:r>
      <w:r>
        <w:rPr>
          <w:lang w:val="en"/>
        </w:rPr>
        <w:t xml:space="preserve">For countries where coastal wetlands are a key category (Indonesia, Philippines, Malaysia, Madagascar, Australia, Brazil, Mexico), Tier 2 is the minimum for NDC and national communications. For countries with substantial coastal peatland (particularly Indonesia and Malaysia), apply IPCC Wetlands Supplement Chapter 4 Section 4.3 peat decomposition emission factors in addition to standard biomass and surface soil estimates.</w:t>
      </w:r>
    </w:p>
    <w:p>
      <w:pPr>
        <w:pStyle w:val="BodyText"/>
      </w:pPr>
      <w:r>
        <w:rPr>
          <w:lang w:val="en"/>
        </w:rPr>
        <w:t xml:space="preserve">¶9</w:t>
      </w:r>
      <w:r>
        <w:rPr>
          <w:lang w:val="en"/>
        </w:rPr>
        <w:t xml:space="preserve"> </w:t>
      </w:r>
      <w:r>
        <w:rPr>
          <w:bCs/>
          <w:b/>
          <w:lang w:val="en"/>
        </w:rPr>
        <w:t xml:space="preserve">Recommended integration pathway:</w:t>
      </w:r>
      <w:r>
        <w:rPr>
          <w:lang w:val="en"/>
        </w:rPr>
        <w:t xml:space="preserve"> </w:t>
      </w:r>
      <w:r>
        <w:rPr>
          <w:lang w:val="en"/>
        </w:rPr>
        <w:t xml:space="preserve">Compile SEEA extent and condition accounts at the highest feasible tier; derive NECB via stock-difference method; classify data quality against IPCC tier framework; report to national GHG inventory compiler as Tier 2 or Tier 3 LULUCF input; document reconciliation between SEEA account boundaries and IPCC reporting categories. The SEEA-CF 2028 Guidance Note D1 (Carbon Stock Account, November 2025) describes the bridge table mechanism.</w:t>
      </w:r>
    </w:p>
    <w:bookmarkStart w:id="136" w:name="carbon-condition-account-stock-variables"/>
    <w:p>
      <w:pPr>
        <w:pStyle w:val="Heading4"/>
      </w:pPr>
      <w:r>
        <w:rPr>
          <w:lang w:val="en"/>
        </w:rPr>
        <w:t xml:space="preserve">Carbon condition account (stock variables)</w:t>
      </w:r>
    </w:p>
    <w:p>
      <w:pPr>
        <w:pStyle w:val="FirstParagraph"/>
      </w:pPr>
      <w:hyperlink w:anchor="carbon-condition-account-stock-variables">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condition account (stock variables)”</w:t>
        </w:r>
      </w:hyperlink>
    </w:p>
    <w:bookmarkEnd w:id="136"/>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Carbon Pool</w:t>
            </w:r>
          </w:p>
        </w:tc>
        <w:tc>
          <w:tcPr/>
          <w:p>
            <w:pPr>
              <w:pStyle w:val="Compact"/>
              <w:jc w:val="left"/>
            </w:pPr>
            <w:r>
              <w:rPr>
                <w:lang w:val="en"/>
              </w:rPr>
              <w:t xml:space="preserve">Unit</w:t>
            </w:r>
          </w:p>
        </w:tc>
        <w:tc>
          <w:tcPr/>
          <w:p>
            <w:pPr>
              <w:pStyle w:val="Compact"/>
              <w:jc w:val="left"/>
            </w:pPr>
            <w:r>
              <w:rPr>
                <w:lang w:val="en"/>
              </w:rPr>
              <w:t xml:space="preserve">Opening Stock (tC/ha)</w:t>
            </w:r>
          </w:p>
        </w:tc>
        <w:tc>
          <w:tcPr/>
          <w:p>
            <w:pPr>
              <w:pStyle w:val="Compact"/>
              <w:jc w:val="left"/>
            </w:pPr>
            <w:r>
              <w:rPr>
                <w:lang w:val="en"/>
              </w:rPr>
              <w:t xml:space="preserve">Opening Total (tCO2e)</w:t>
            </w:r>
          </w:p>
        </w:tc>
        <w:tc>
          <w:tcPr/>
          <w:p>
            <w:pPr>
              <w:pStyle w:val="Compact"/>
              <w:jc w:val="left"/>
            </w:pPr>
            <w:r>
              <w:rPr>
                <w:lang w:val="en"/>
              </w:rPr>
              <w:t xml:space="preserve">Closing Stock (tC/ha)</w:t>
            </w:r>
          </w:p>
        </w:tc>
        <w:tc>
          <w:tcPr/>
          <w:p>
            <w:pPr>
              <w:pStyle w:val="Compact"/>
              <w:jc w:val="left"/>
            </w:pPr>
            <w:r>
              <w:rPr>
                <w:lang w:val="en"/>
              </w:rPr>
              <w:t xml:space="preserve">Closing Total (tCO2e)</w:t>
            </w:r>
          </w:p>
        </w:tc>
        <w:tc>
          <w:tcPr/>
          <w:p>
            <w:pPr>
              <w:pStyle w:val="Compact"/>
              <w:jc w:val="left"/>
            </w:pPr>
            <w:r>
              <w:rPr>
                <w:lang w:val="en"/>
              </w:rPr>
              <w:t xml:space="preserve">Change (tCO2e)</w:t>
            </w:r>
          </w:p>
        </w:tc>
      </w:tr>
      <w:tr>
        <w:tc>
          <w:tcPr/>
          <w:p>
            <w:pPr>
              <w:pStyle w:val="Compact"/>
              <w:jc w:val="left"/>
            </w:pPr>
            <w:r>
              <w:rPr>
                <w:lang w:val="en"/>
              </w:rPr>
              <w:t xml:space="preserve">Above-ground biomass</w:t>
            </w:r>
          </w:p>
        </w:tc>
        <w:tc>
          <w:tcPr/>
          <w:p>
            <w:pPr>
              <w:pStyle w:val="Compact"/>
              <w:jc w:val="left"/>
            </w:pPr>
            <w:r>
              <w:rPr>
                <w:lang w:val="en"/>
              </w:rPr>
              <w:t xml:space="preserve">tC/ha</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Below-ground biomass</w:t>
            </w:r>
          </w:p>
        </w:tc>
        <w:tc>
          <w:tcPr/>
          <w:p>
            <w:pPr>
              <w:pStyle w:val="Compact"/>
              <w:jc w:val="left"/>
            </w:pPr>
            <w:r>
              <w:rPr>
                <w:lang w:val="en"/>
              </w:rPr>
              <w:t xml:space="preserve">tC/ha</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Dead wood</w:t>
            </w:r>
          </w:p>
        </w:tc>
        <w:tc>
          <w:tcPr/>
          <w:p>
            <w:pPr>
              <w:pStyle w:val="Compact"/>
              <w:jc w:val="left"/>
            </w:pPr>
            <w:r>
              <w:rPr>
                <w:lang w:val="en"/>
              </w:rPr>
              <w:t xml:space="preserve">tC/ha</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Litter</w:t>
            </w:r>
          </w:p>
        </w:tc>
        <w:tc>
          <w:tcPr/>
          <w:p>
            <w:pPr>
              <w:pStyle w:val="Compact"/>
              <w:jc w:val="left"/>
            </w:pPr>
            <w:r>
              <w:rPr>
                <w:lang w:val="en"/>
              </w:rPr>
              <w:t xml:space="preserve">tC/ha</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Soil organic carbon (0-1m)</w:t>
            </w:r>
          </w:p>
        </w:tc>
        <w:tc>
          <w:tcPr/>
          <w:p>
            <w:pPr>
              <w:pStyle w:val="Compact"/>
              <w:jc w:val="left"/>
            </w:pPr>
            <w:r>
              <w:rPr>
                <w:lang w:val="en"/>
              </w:rPr>
              <w:t xml:space="preserve">tC/ha</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rPr>
                <w:lang w:val="en"/>
              </w:rPr>
              <w:t xml:space="preserve">Total carbon stock</w:t>
            </w:r>
          </w:p>
        </w:tc>
        <w:tc>
          <w:tcPr/>
          <w:p>
            <w:pPr>
              <w:pStyle w:val="Compact"/>
              <w:jc w:val="left"/>
            </w:pPr>
            <w:r>
              <w:rPr>
                <w:lang w:val="en"/>
              </w:rPr>
              <w:t xml:space="preserve">tC/ha</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Start w:id="139" w:name="X256cb1905ff4e72881cbe754e9b8ee697698d8c"/>
    <w:p>
      <w:pPr>
        <w:pStyle w:val="Heading4"/>
      </w:pPr>
      <w:r>
        <w:rPr>
          <w:lang w:val="en"/>
        </w:rPr>
        <w:t xml:space="preserve">Carbon services flow account (flow variables)</w:t>
      </w:r>
    </w:p>
    <w:p>
      <w:pPr>
        <w:pStyle w:val="FirstParagraph"/>
      </w:pPr>
      <w:hyperlink w:anchor="X256cb1905ff4e72881cbe754e9b8ee697698d8c">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services flow account (flow variables)”</w:t>
        </w:r>
      </w:hyperlink>
    </w:p>
    <w:bookmarkEnd w:id="139"/>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Service Component</w:t>
            </w:r>
          </w:p>
        </w:tc>
        <w:tc>
          <w:tcPr/>
          <w:p>
            <w:pPr>
              <w:pStyle w:val="Compact"/>
              <w:jc w:val="left"/>
            </w:pPr>
            <w:r>
              <w:rPr>
                <w:lang w:val="en"/>
              </w:rPr>
              <w:t xml:space="preserve">Physical Measure</w:t>
            </w:r>
          </w:p>
        </w:tc>
        <w:tc>
          <w:tcPr/>
          <w:p>
            <w:pPr>
              <w:pStyle w:val="Compact"/>
              <w:jc w:val="left"/>
            </w:pPr>
            <w:r>
              <w:rPr>
                <w:lang w:val="en"/>
              </w:rPr>
              <w:t xml:space="preserve">Unit</w:t>
            </w:r>
          </w:p>
        </w:tc>
        <w:tc>
          <w:tcPr/>
          <w:p>
            <w:pPr>
              <w:pStyle w:val="Compact"/>
              <w:jc w:val="left"/>
            </w:pPr>
            <w:r>
              <w:rPr>
                <w:lang w:val="en"/>
              </w:rPr>
              <w:t xml:space="preserve">Value</w:t>
            </w:r>
          </w:p>
        </w:tc>
      </w:tr>
      <w:tr>
        <w:tc>
          <w:tcPr/>
          <w:p>
            <w:pPr>
              <w:pStyle w:val="Compact"/>
              <w:jc w:val="left"/>
            </w:pPr>
            <w:r>
              <w:rPr>
                <w:bCs/>
                <w:b/>
                <w:lang w:val="en"/>
              </w:rPr>
              <w:t xml:space="preserve">Carbon Retention</w:t>
            </w:r>
          </w:p>
        </w:tc>
        <w:tc>
          <w:tcPr/>
          <w:p>
            <w:pPr>
              <w:pStyle w:val="Compact"/>
            </w:pPr>
          </w:p>
        </w:tc>
        <w:tc>
          <w:tcPr/>
          <w:p>
            <w:pPr>
              <w:pStyle w:val="Compact"/>
            </w:pPr>
          </w:p>
        </w:tc>
        <w:tc>
          <w:tcPr/>
          <w:p>
            <w:pPr>
              <w:pStyle w:val="Compact"/>
            </w:pPr>
          </w:p>
        </w:tc>
      </w:tr>
      <w:tr>
        <w:tc>
          <w:tcPr/>
          <w:p>
            <w:pPr>
              <w:pStyle w:val="Compact"/>
              <w:jc w:val="left"/>
            </w:pPr>
            <w:r>
              <w:rPr>
                <w:lang w:val="en"/>
              </w:rPr>
              <w:t xml:space="preserve">Opening stock (reference for retention service)</w:t>
            </w:r>
          </w:p>
        </w:tc>
        <w:tc>
          <w:tcPr/>
          <w:p>
            <w:pPr>
              <w:pStyle w:val="Compact"/>
              <w:jc w:val="left"/>
            </w:pPr>
            <w:r>
              <w:rPr>
                <w:lang w:val="en"/>
              </w:rPr>
              <w:t xml:space="preserve">tCO2e</w:t>
            </w:r>
          </w:p>
        </w:tc>
        <w:tc>
          <w:tcPr/>
          <w:p>
            <w:pPr>
              <w:pStyle w:val="Compact"/>
              <w:jc w:val="left"/>
            </w:pPr>
            <w:r>
              <w:rPr>
                <w:lang w:val="en"/>
              </w:rPr>
              <w:t xml:space="preserve">tCO2e</w:t>
            </w:r>
          </w:p>
        </w:tc>
        <w:tc>
          <w:tcPr/>
          <w:p>
            <w:pPr>
              <w:pStyle w:val="Compact"/>
            </w:pPr>
          </w:p>
        </w:tc>
      </w:tr>
      <w:tr>
        <w:tc>
          <w:tcPr/>
          <w:p>
            <w:pPr>
              <w:pStyle w:val="Compact"/>
              <w:jc w:val="left"/>
            </w:pPr>
            <w:r>
              <w:rPr>
                <w:bCs/>
                <w:b/>
                <w:lang w:val="en"/>
              </w:rPr>
              <w:t xml:space="preserve">Carbon Sequestration (NECB)</w:t>
            </w:r>
          </w:p>
        </w:tc>
        <w:tc>
          <w:tcPr/>
          <w:p>
            <w:pPr>
              <w:pStyle w:val="Compact"/>
            </w:pPr>
          </w:p>
        </w:tc>
        <w:tc>
          <w:tcPr/>
          <w:p>
            <w:pPr>
              <w:pStyle w:val="Compact"/>
            </w:pPr>
          </w:p>
        </w:tc>
        <w:tc>
          <w:tcPr/>
          <w:p>
            <w:pPr>
              <w:pStyle w:val="Compact"/>
            </w:pPr>
          </w:p>
        </w:tc>
      </w:tr>
      <w:tr>
        <w:tc>
          <w:tcPr/>
          <w:p>
            <w:pPr>
              <w:pStyle w:val="Compact"/>
              <w:jc w:val="left"/>
            </w:pPr>
            <w:r>
              <w:rPr>
                <w:lang w:val="en"/>
              </w:rPr>
              <w:t xml:space="preserve">Net biomass carbon accumulation</w:t>
            </w:r>
          </w:p>
        </w:tc>
        <w:tc>
          <w:tcPr/>
          <w:p>
            <w:pPr>
              <w:pStyle w:val="Compact"/>
              <w:jc w:val="left"/>
            </w:pPr>
            <w:r>
              <w:rPr>
                <w:lang w:val="en"/>
              </w:rPr>
              <w:t xml:space="preserve">tCO2e/yr</w:t>
            </w:r>
          </w:p>
        </w:tc>
        <w:tc>
          <w:tcPr/>
          <w:p>
            <w:pPr>
              <w:pStyle w:val="Compact"/>
              <w:jc w:val="left"/>
            </w:pPr>
            <w:r>
              <w:rPr>
                <w:lang w:val="en"/>
              </w:rPr>
              <w:t xml:space="preserve">tCO2e/yr</w:t>
            </w:r>
          </w:p>
        </w:tc>
        <w:tc>
          <w:tcPr/>
          <w:p>
            <w:pPr>
              <w:pStyle w:val="Compact"/>
            </w:pPr>
          </w:p>
        </w:tc>
      </w:tr>
      <w:tr>
        <w:tc>
          <w:tcPr/>
          <w:p>
            <w:pPr>
              <w:pStyle w:val="Compact"/>
              <w:jc w:val="left"/>
            </w:pPr>
            <w:r>
              <w:rPr>
                <w:lang w:val="en"/>
              </w:rPr>
              <w:t xml:space="preserve">Net sediment carbon burial rate</w:t>
            </w:r>
          </w:p>
        </w:tc>
        <w:tc>
          <w:tcPr/>
          <w:p>
            <w:pPr>
              <w:pStyle w:val="Compact"/>
              <w:jc w:val="left"/>
            </w:pPr>
            <w:r>
              <w:rPr>
                <w:lang w:val="en"/>
              </w:rPr>
              <w:t xml:space="preserve">tCO2e/yr</w:t>
            </w:r>
          </w:p>
        </w:tc>
        <w:tc>
          <w:tcPr/>
          <w:p>
            <w:pPr>
              <w:pStyle w:val="Compact"/>
              <w:jc w:val="left"/>
            </w:pPr>
            <w:r>
              <w:rPr>
                <w:lang w:val="en"/>
              </w:rPr>
              <w:t xml:space="preserve">tCO2e/yr</w:t>
            </w:r>
          </w:p>
        </w:tc>
        <w:tc>
          <w:tcPr/>
          <w:p>
            <w:pPr>
              <w:pStyle w:val="Compact"/>
            </w:pPr>
          </w:p>
        </w:tc>
      </w:tr>
      <w:tr>
        <w:tc>
          <w:tcPr/>
          <w:p>
            <w:pPr>
              <w:pStyle w:val="Compact"/>
              <w:jc w:val="left"/>
            </w:pPr>
            <w:r>
              <w:rPr>
                <w:lang w:val="en"/>
              </w:rPr>
              <w:t xml:space="preserve">CH4 emissions (if measured)</w:t>
            </w:r>
          </w:p>
        </w:tc>
        <w:tc>
          <w:tcPr/>
          <w:p>
            <w:pPr>
              <w:pStyle w:val="Compact"/>
              <w:jc w:val="left"/>
            </w:pPr>
            <w:r>
              <w:rPr>
                <w:lang w:val="en"/>
              </w:rPr>
              <w:t xml:space="preserve">tC/yr</w:t>
            </w:r>
          </w:p>
        </w:tc>
        <w:tc>
          <w:tcPr/>
          <w:p>
            <w:pPr>
              <w:pStyle w:val="Compact"/>
              <w:jc w:val="left"/>
            </w:pPr>
            <w:r>
              <w:rPr>
                <w:lang w:val="en"/>
              </w:rPr>
              <w:t xml:space="preserve">tC/yr</w:t>
            </w:r>
          </w:p>
        </w:tc>
        <w:tc>
          <w:tcPr/>
          <w:p>
            <w:pPr>
              <w:pStyle w:val="Compact"/>
            </w:pPr>
          </w:p>
        </w:tc>
      </w:tr>
      <w:tr>
        <w:tc>
          <w:tcPr/>
          <w:p>
            <w:pPr>
              <w:pStyle w:val="Compact"/>
              <w:jc w:val="left"/>
            </w:pPr>
            <w:r>
              <w:rPr>
                <w:lang w:val="en"/>
              </w:rPr>
              <w:t xml:space="preserve">Total net sequestration (NECB)</w:t>
            </w:r>
          </w:p>
        </w:tc>
        <w:tc>
          <w:tcPr/>
          <w:p>
            <w:pPr>
              <w:pStyle w:val="Compact"/>
              <w:jc w:val="left"/>
            </w:pPr>
            <w:r>
              <w:rPr>
                <w:lang w:val="en"/>
              </w:rPr>
              <w:t xml:space="preserve">tCO2e/yr</w:t>
            </w:r>
          </w:p>
        </w:tc>
        <w:tc>
          <w:tcPr/>
          <w:p>
            <w:pPr>
              <w:pStyle w:val="Compact"/>
              <w:jc w:val="left"/>
            </w:pPr>
            <w:r>
              <w:rPr>
                <w:lang w:val="en"/>
              </w:rPr>
              <w:t xml:space="preserve">tCO2e/yr</w:t>
            </w:r>
          </w:p>
        </w:tc>
        <w:tc>
          <w:tcPr/>
          <w:p>
            <w:pPr>
              <w:pStyle w:val="Compact"/>
            </w:pPr>
          </w:p>
        </w:tc>
      </w:tr>
    </w:tbl>
    <w:bookmarkStart w:id="142" w:name="X08b00b585f06c1312de2bd647995febec7071b4"/>
    <w:p>
      <w:pPr>
        <w:pStyle w:val="Heading3"/>
      </w:pPr>
      <w:r>
        <w:rPr>
          <w:lang w:val="en"/>
        </w:rPr>
        <w:t xml:space="preserve">3.4</w:t>
      </w:r>
      <w:r>
        <w:rPr>
          <w:lang w:val="en"/>
        </w:rPr>
        <w:t xml:space="preserve"> </w:t>
      </w:r>
      <w:r>
        <w:rPr>
          <w:lang w:val="en"/>
        </w:rPr>
        <w:t xml:space="preserve">Coastal Protection Services</w:t>
      </w:r>
    </w:p>
    <w:p>
      <w:pPr>
        <w:pStyle w:val="FirstParagraph"/>
      </w:pPr>
      <w:hyperlink w:anchor="X08b00b585f06c1312de2bd647995febec7071b4">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Coastal Protection Services”</w:t>
        </w:r>
      </w:hyperlink>
    </w:p>
    <w:bookmarkEnd w:id="142"/>
    <w:p>
      <w:pPr>
        <w:pStyle w:val="BodyText"/>
      </w:pPr>
      <w:r>
        <w:rPr>
          <w:lang w:val="en"/>
        </w:rPr>
        <w:t xml:space="preserve">¶1</w:t>
      </w:r>
      <w:r>
        <w:rPr>
          <w:lang w:val="en"/>
        </w:rPr>
        <w:t xml:space="preserve"> </w:t>
      </w:r>
      <w:r>
        <w:rPr>
          <w:lang w:val="en"/>
        </w:rPr>
        <w:t xml:space="preserve">Coastal protection services are the ecosystem contributions of mangroves, saltmarshes, and other coastal wetlands in protecting shorelines from erosion, wave damage, and storm surge</w:t>
      </w:r>
      <w:hyperlink w:anchor="user-content-fn-54">
        <w:r>
          <w:rPr>
            <w:rStyle w:val="Hyperlink"/>
            <w:vertAlign w:val="superscript"/>
            <w:lang w:val="en"/>
          </w:rPr>
          <w:t xml:space="preserve">56</w:t>
        </w:r>
      </w:hyperlink>
      <w:r>
        <w:rPr>
          <w:lang w:val="en"/>
        </w:rPr>
        <w:t xml:space="preserve">,</w:t>
      </w:r>
      <w:r>
        <w:rPr>
          <w:lang w:val="en"/>
        </w:rPr>
        <w:t xml:space="preserve"> </w:t>
      </w:r>
      <w:hyperlink w:anchor="user-content-fn-55">
        <w:r>
          <w:rPr>
            <w:rStyle w:val="Hyperlink"/>
            <w:vertAlign w:val="superscript"/>
            <w:lang w:val="en"/>
          </w:rPr>
          <w:t xml:space="preserve">57</w:t>
        </w:r>
      </w:hyperlink>
      <w:r>
        <w:rPr>
          <w:lang w:val="en"/>
        </w:rPr>
        <w:t xml:space="preserve">. The measurement approaches here are consistent with</w:t>
      </w:r>
      <w:r>
        <w:rPr>
          <w:lang w:val="en"/>
        </w:rPr>
        <w:t xml:space="preserve"> </w:t>
      </w:r>
      <w:hyperlink r:id="rId35">
        <w:r>
          <w:rPr>
            <w:rStyle w:val="Hyperlink"/>
            <w:bCs/>
            <w:b/>
            <w:lang w:val="en"/>
          </w:rPr>
          <w:t xml:space="preserve">TG-6.1 Coral Reef Accounting</w:t>
        </w:r>
      </w:hyperlink>
      <w:r>
        <w:rPr>
          <w:lang w:val="en"/>
        </w:rPr>
        <w:t xml:space="preserve"> </w:t>
      </w:r>
      <w:r>
        <w:rPr>
          <w:lang w:val="en"/>
        </w:rPr>
        <w:t xml:space="preserve">Section 3.3, which supports cross-ecosystem aggregation. For general valuation methodology, see</w:t>
      </w:r>
      <w:r>
        <w:rPr>
          <w:lang w:val="en"/>
        </w:rPr>
        <w:t xml:space="preserve"> </w:t>
      </w:r>
      <w:hyperlink r:id="rId46">
        <w:r>
          <w:rPr>
            <w:rStyle w:val="Hyperlink"/>
            <w:bCs/>
            <w:b/>
            <w:lang w:val="en"/>
          </w:rPr>
          <w:t xml:space="preserve">TG-1.9 Valuation</w:t>
        </w:r>
      </w:hyperlink>
      <w:r>
        <w:rPr>
          <w:lang w:val="en"/>
        </w:rPr>
        <w:t xml:space="preserve">.</w:t>
      </w:r>
    </w:p>
    <w:p>
      <w:pPr>
        <w:pStyle w:val="BodyText"/>
      </w:pPr>
      <w:r>
        <w:rPr>
          <w:lang w:val="en"/>
        </w:rPr>
        <w:t xml:space="preserve">¶2</w:t>
      </w:r>
      <w:r>
        <w:rPr>
          <w:lang w:val="en"/>
        </w:rPr>
        <w:t xml:space="preserve"> </w:t>
      </w:r>
      <w:r>
        <w:drawing>
          <wp:inline>
            <wp:extent cx="152400" cy="152400"/>
            <wp:effectExtent b="0" l="0" r="0" t="0"/>
            <wp:docPr descr="" title="" id="143"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Recording rule — coastal protection service</w:t>
      </w:r>
    </w:p>
    <w:p>
      <w:pPr>
        <w:pStyle w:val="BodyText"/>
      </w:pPr>
      <w:r>
        <w:rPr>
          <w:lang w:val="en"/>
        </w:rPr>
        <w:t xml:space="preserve">¶3</w:t>
      </w:r>
      <w:r>
        <w:rPr>
          <w:lang w:val="en"/>
        </w:rPr>
        <w:t xml:space="preserve"> </w:t>
      </w:r>
      <w:r>
        <w:rPr>
          <w:lang w:val="en"/>
        </w:rPr>
        <w:t xml:space="preserve">This Circular is the recording point for the coastal protection service supplied by mangroves, saltmarshes and other coastal wetlands.</w:t>
      </w:r>
      <w:r>
        <w:rPr>
          <w:lang w:val="en"/>
        </w:rPr>
        <w:t xml:space="preserve"> </w:t>
      </w:r>
      <w:hyperlink r:id="rId145">
        <w:r>
          <w:rPr>
            <w:rStyle w:val="Hyperlink"/>
            <w:bCs/>
            <w:b/>
            <w:lang w:val="en"/>
          </w:rPr>
          <w:t xml:space="preserve">TG-6.11 Coastal Infrastructure Accounting</w:t>
        </w:r>
      </w:hyperlink>
      <w:r>
        <w:rPr>
          <w:lang w:val="en"/>
        </w:rPr>
        <w:t xml:space="preserve"> </w:t>
      </w:r>
      <w:r>
        <w:rPr>
          <w:lang w:val="en"/>
        </w:rPr>
        <w:t xml:space="preserve">Section 3.3.2 records the produced-asset side — the capital cost and depreciation of engineered and hybrid works — and cross-refers here for the service; it does not estimate a second protection value for the same area.</w:t>
      </w:r>
      <w:r>
        <w:rPr>
          <w:lang w:val="en"/>
        </w:rPr>
        <w:t xml:space="preserve"> </w:t>
      </w:r>
      <w:hyperlink r:id="rId72">
        <w:r>
          <w:rPr>
            <w:rStyle w:val="Hyperlink"/>
            <w:bCs/>
            <w:b/>
            <w:lang w:val="en"/>
          </w:rPr>
          <w:t xml:space="preserve">TG-6.15</w:t>
        </w:r>
      </w:hyperlink>
      <w:r>
        <w:rPr>
          <w:lang w:val="en"/>
        </w:rPr>
        <w:t xml:space="preserve"> </w:t>
      </w:r>
      <w:r>
        <w:rPr>
          <w:lang w:val="en"/>
        </w:rPr>
        <w:t xml:space="preserve">Section 3.8 supplies the method for comparing the two.</w:t>
      </w:r>
    </w:p>
    <w:bookmarkStart w:id="148" w:name="Xf3df98562c9f2849c69f001a4d3d5ae470beba2"/>
    <w:p>
      <w:pPr>
        <w:pStyle w:val="Heading4"/>
      </w:pPr>
      <w:r>
        <w:rPr>
          <w:lang w:val="en"/>
        </w:rPr>
        <w:t xml:space="preserve">Wave attenuation and storm surge reduction</w:t>
      </w:r>
    </w:p>
    <w:p>
      <w:pPr>
        <w:pStyle w:val="FirstParagraph"/>
      </w:pPr>
      <w:hyperlink w:anchor="Xf3df98562c9f2849c69f001a4d3d5ae470beba2">
        <w:r>
          <w:drawing>
            <wp:inline>
              <wp:extent cx="152400" cy="152400"/>
              <wp:effectExtent b="0" l="0" r="0" t="0"/>
              <wp:docPr descr="" title="" id="14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“Wave attenuation and storm surge reduction”</w:t>
        </w:r>
      </w:hyperlink>
    </w:p>
    <w:bookmarkEnd w:id="148"/>
    <w:p>
      <w:pPr>
        <w:pStyle w:val="BodyText"/>
      </w:pPr>
      <w:r>
        <w:rPr>
          <w:lang w:val="en"/>
        </w:rPr>
        <w:t xml:space="preserve">¶1</w:t>
      </w:r>
      <w:r>
        <w:rPr>
          <w:lang w:val="en"/>
        </w:rPr>
        <w:t xml:space="preserve"> </w:t>
      </w:r>
      <w:r>
        <w:rPr>
          <w:lang w:val="en"/>
        </w:rPr>
        <w:t xml:space="preserve">Mangroves and saltmarshes reduce wave energy through friction with vegetation</w:t>
      </w:r>
      <w:hyperlink w:anchor="user-content-fn-56">
        <w:r>
          <w:rPr>
            <w:rStyle w:val="Hyperlink"/>
            <w:vertAlign w:val="superscript"/>
            <w:lang w:val="en"/>
          </w:rPr>
          <w:t xml:space="preserve">58</w:t>
        </w:r>
      </w:hyperlink>
      <w:r>
        <w:rPr>
          <w:lang w:val="en"/>
        </w:rPr>
        <w:t xml:space="preserve">. Wave height reductions of 13—66% per 100 metres of mangrove forest have been demonstrated, with higher attenuation in denser vegetation and lower water depths</w:t>
      </w:r>
      <w:hyperlink w:anchor="user-content-fn-57">
        <w:r>
          <w:rPr>
            <w:rStyle w:val="Hyperlink"/>
            <w:vertAlign w:val="superscript"/>
            <w:lang w:val="en"/>
          </w:rPr>
          <w:t xml:space="preserve">59</w:t>
        </w:r>
      </w:hyperlink>
      <w:r>
        <w:rPr>
          <w:lang w:val="en"/>
        </w:rPr>
        <w:t xml:space="preserve">. Saltmarshes attenuate approximately 78—95% over 100-metre widths</w:t>
      </w:r>
      <w:hyperlink w:anchor="user-content-fn-58">
        <w:r>
          <w:rPr>
            <w:rStyle w:val="Hyperlink"/>
            <w:vertAlign w:val="superscript"/>
            <w:lang w:val="en"/>
          </w:rPr>
          <w:t xml:space="preserve">60</w:t>
        </w:r>
      </w:hyperlink>
      <w:r>
        <w:rPr>
          <w:lang w:val="en"/>
        </w:rPr>
        <w:t xml:space="preserve">.</w:t>
      </w:r>
    </w:p>
    <w:p>
      <w:pPr>
        <w:pStyle w:val="BodyText"/>
      </w:pPr>
      <w:r>
        <w:rPr>
          <w:lang w:val="en"/>
        </w:rPr>
        <w:t xml:space="preserve">¶2</w:t>
      </w:r>
      <w:r>
        <w:rPr>
          <w:lang w:val="en"/>
        </w:rPr>
        <w:t xml:space="preserve"> </w:t>
      </w:r>
      <w:r>
        <w:rPr>
          <w:lang w:val="en"/>
        </w:rPr>
        <w:t xml:space="preserve">Coastal wetlands also reduce storm surge heights by 4—50 cm per km of forest width depending on storm intensity and forest characteristics</w:t>
      </w:r>
      <w:hyperlink w:anchor="user-content-fn-59">
        <w:r>
          <w:rPr>
            <w:rStyle w:val="Hyperlink"/>
            <w:vertAlign w:val="superscript"/>
            <w:lang w:val="en"/>
          </w:rPr>
          <w:t xml:space="preserve">61</w:t>
        </w:r>
      </w:hyperlink>
      <w:r>
        <w:rPr>
          <w:lang w:val="en"/>
        </w:rPr>
        <w:t xml:space="preserve">,</w:t>
      </w:r>
      <w:r>
        <w:rPr>
          <w:lang w:val="en"/>
        </w:rPr>
        <w:t xml:space="preserve"> </w:t>
      </w:r>
      <w:hyperlink w:anchor="user-content-fn-60">
        <w:r>
          <w:rPr>
            <w:rStyle w:val="Hyperlink"/>
            <w:vertAlign w:val="superscript"/>
            <w:lang w:val="en"/>
          </w:rPr>
          <w:t xml:space="preserve">62</w:t>
        </w:r>
      </w:hyperlink>
      <w:r>
        <w:rPr>
          <w:lang w:val="en"/>
        </w:rPr>
        <w:t xml:space="preserve">. Key factors determining supply:</w:t>
      </w:r>
    </w:p>
    <w:p>
      <w:pPr>
        <w:numPr>
          <w:ilvl w:val="0"/>
          <w:numId w:val="1012"/>
        </w:numPr>
        <w:pStyle w:val="Compact"/>
      </w:pPr>
      <w:r>
        <w:rPr>
          <w:lang w:val="en"/>
        </w:rPr>
        <w:t xml:space="preserve">¶3</w:t>
      </w:r>
      <w:r>
        <w:rPr>
          <w:lang w:val="en"/>
        </w:rPr>
        <w:t xml:space="preserve"> </w:t>
      </w:r>
      <w:r>
        <w:rPr>
          <w:lang w:val="en"/>
        </w:rPr>
        <w:t xml:space="preserve">Forest width and density</w:t>
      </w:r>
    </w:p>
    <w:p>
      <w:pPr>
        <w:numPr>
          <w:ilvl w:val="0"/>
          <w:numId w:val="1012"/>
        </w:numPr>
        <w:pStyle w:val="Compact"/>
      </w:pPr>
      <w:r>
        <w:rPr>
          <w:lang w:val="en"/>
        </w:rPr>
        <w:t xml:space="preserve">¶4</w:t>
      </w:r>
      <w:r>
        <w:rPr>
          <w:lang w:val="en"/>
        </w:rPr>
        <w:t xml:space="preserve"> </w:t>
      </w:r>
      <w:r>
        <w:rPr>
          <w:lang w:val="en"/>
        </w:rPr>
        <w:t xml:space="preserve">Species composition (different root structures provide varying resistance)</w:t>
      </w:r>
    </w:p>
    <w:p>
      <w:pPr>
        <w:numPr>
          <w:ilvl w:val="0"/>
          <w:numId w:val="1012"/>
        </w:numPr>
        <w:pStyle w:val="Compact"/>
      </w:pPr>
      <w:r>
        <w:rPr>
          <w:lang w:val="en"/>
        </w:rPr>
        <w:t xml:space="preserve">¶5</w:t>
      </w:r>
      <w:r>
        <w:rPr>
          <w:lang w:val="en"/>
        </w:rPr>
        <w:t xml:space="preserve"> </w:t>
      </w:r>
      <w:r>
        <w:rPr>
          <w:lang w:val="en"/>
        </w:rPr>
        <w:t xml:space="preserve">Bathymetry and coastal slope</w:t>
      </w:r>
    </w:p>
    <w:p>
      <w:pPr>
        <w:numPr>
          <w:ilvl w:val="0"/>
          <w:numId w:val="1012"/>
        </w:numPr>
        <w:pStyle w:val="Compact"/>
      </w:pPr>
      <w:r>
        <w:rPr>
          <w:lang w:val="en"/>
        </w:rPr>
        <w:t xml:space="preserve">¶6</w:t>
      </w:r>
      <w:r>
        <w:rPr>
          <w:lang w:val="en"/>
        </w:rPr>
        <w:t xml:space="preserve"> </w:t>
      </w:r>
      <w:r>
        <w:rPr>
          <w:lang w:val="en"/>
        </w:rPr>
        <w:t xml:space="preserve">Storm characteristics</w:t>
      </w:r>
    </w:p>
    <w:p>
      <w:pPr>
        <w:pStyle w:val="FirstParagraph"/>
      </w:pPr>
      <w:r>
        <w:rPr>
          <w:lang w:val="en"/>
        </w:rPr>
        <w:t xml:space="preserve">¶7</w:t>
      </w:r>
      <w:r>
        <w:rPr>
          <w:lang w:val="en"/>
        </w:rPr>
        <w:t xml:space="preserve"> </w:t>
      </w:r>
      <w:r>
        <w:rPr>
          <w:bCs/>
          <w:b/>
          <w:lang w:val="en"/>
        </w:rPr>
        <w:t xml:space="preserve">Reference values for benefit transfer and simplified spatial models:</w:t>
      </w:r>
    </w:p>
    <w:p>
      <w:pPr>
        <w:numPr>
          <w:ilvl w:val="0"/>
          <w:numId w:val="1013"/>
        </w:numPr>
        <w:pStyle w:val="Compact"/>
      </w:pPr>
      <w:r>
        <w:rPr>
          <w:lang w:val="en"/>
        </w:rPr>
        <w:t xml:space="preserve">¶8</w:t>
      </w:r>
      <w:r>
        <w:rPr>
          <w:lang w:val="en"/>
        </w:rPr>
        <w:t xml:space="preserve"> </w:t>
      </w:r>
      <w:r>
        <w:rPr>
          <w:iCs/>
          <w:i/>
          <w:lang w:val="en"/>
        </w:rPr>
        <w:t xml:space="preserve">Minimum mangrove width threshold:</w:t>
      </w:r>
      <w:r>
        <w:rPr>
          <w:lang w:val="en"/>
        </w:rPr>
        <w:t xml:space="preserve"> </w:t>
      </w:r>
      <w:r>
        <w:rPr>
          <w:lang w:val="en"/>
        </w:rPr>
        <w:t xml:space="preserve">100 m for sheltered coastlines; 500 m for open-ocean exposed coasts (ABS 2022).</w:t>
      </w:r>
    </w:p>
    <w:p>
      <w:pPr>
        <w:numPr>
          <w:ilvl w:val="0"/>
          <w:numId w:val="1013"/>
        </w:numPr>
        <w:pStyle w:val="Compact"/>
      </w:pPr>
      <w:r>
        <w:rPr>
          <w:lang w:val="en"/>
        </w:rPr>
        <w:t xml:space="preserve">¶9</w:t>
      </w:r>
      <w:r>
        <w:rPr>
          <w:lang w:val="en"/>
        </w:rPr>
        <w:t xml:space="preserve"> </w:t>
      </w:r>
      <w:r>
        <w:rPr>
          <w:iCs/>
          <w:i/>
          <w:lang w:val="en"/>
        </w:rPr>
        <w:t xml:space="preserve">Wave-height attenuation:</w:t>
      </w:r>
      <w:r>
        <w:rPr>
          <w:lang w:val="en"/>
        </w:rPr>
        <w:t xml:space="preserve"> </w:t>
      </w:r>
      <w:r>
        <w:rPr>
          <w:lang w:val="en"/>
        </w:rPr>
        <w:t xml:space="preserve">30—70% per 100 m of vegetated width (McIvor et al. 2012); apply lower end to sparse/fragmented stands, upper end to dense mature stands.</w:t>
      </w:r>
    </w:p>
    <w:p>
      <w:pPr>
        <w:numPr>
          <w:ilvl w:val="0"/>
          <w:numId w:val="1013"/>
        </w:numPr>
        <w:pStyle w:val="Compact"/>
      </w:pPr>
      <w:r>
        <w:rPr>
          <w:lang w:val="en"/>
        </w:rPr>
        <w:t xml:space="preserve">¶10</w:t>
      </w:r>
      <w:r>
        <w:rPr>
          <w:lang w:val="en"/>
        </w:rPr>
        <w:t xml:space="preserve"> </w:t>
      </w:r>
      <w:r>
        <w:rPr>
          <w:iCs/>
          <w:i/>
          <w:lang w:val="en"/>
        </w:rPr>
        <w:t xml:space="preserve">Global benefit transfer:</w:t>
      </w:r>
      <w:r>
        <w:rPr>
          <w:lang w:val="en"/>
        </w:rPr>
        <w:t xml:space="preserve"> </w:t>
      </w:r>
      <w:r>
        <w:rPr>
          <w:lang w:val="en"/>
        </w:rPr>
        <w:t xml:space="preserve">Menendez et al. (2020) report approximately USD 65 billion/yr avoided flood damages across 14 Mha globally; order-of-magnitude USD 4,600/ha/yr global average, adjusted by PPP and coastline exposure before local application.</w:t>
      </w:r>
    </w:p>
    <w:p>
      <w:pPr>
        <w:pStyle w:val="FirstParagraph"/>
      </w:pPr>
      <w:r>
        <w:rPr>
          <w:lang w:val="en"/>
        </w:rPr>
        <w:t xml:space="preserve">¶11</w:t>
      </w:r>
      <w:r>
        <w:rPr>
          <w:lang w:val="en"/>
        </w:rPr>
        <w:t xml:space="preserve"> </w:t>
      </w:r>
      <w:r>
        <w:rPr>
          <w:lang w:val="en"/>
        </w:rPr>
        <w:t xml:space="preserve">Compilers with hydrodynamic modelling capacity should follow the World Bank expected damage function approach (World Bank 2016)</w:t>
      </w:r>
      <w:hyperlink w:anchor="user-content-fn-61">
        <w:r>
          <w:rPr>
            <w:rStyle w:val="Hyperlink"/>
            <w:vertAlign w:val="superscript"/>
            <w:lang w:val="en"/>
          </w:rPr>
          <w:t xml:space="preserve">63</w:t>
        </w:r>
      </w:hyperlink>
      <w:r>
        <w:rPr>
          <w:lang w:val="en"/>
        </w:rPr>
        <w:t xml:space="preserve">. Cross-reference</w:t>
      </w:r>
      <w:r>
        <w:rPr>
          <w:lang w:val="en"/>
        </w:rPr>
        <w:t xml:space="preserve"> </w:t>
      </w:r>
      <w:hyperlink r:id="rId32">
        <w:r>
          <w:rPr>
            <w:rStyle w:val="Hyperlink"/>
            <w:bCs/>
            <w:b/>
            <w:lang w:val="en"/>
          </w:rPr>
          <w:t xml:space="preserve">TG-2.8 Climate Change Indicators</w:t>
        </w:r>
      </w:hyperlink>
      <w:r>
        <w:rPr>
          <w:lang w:val="en"/>
        </w:rPr>
        <w:t xml:space="preserve"> </w:t>
      </w:r>
      <w:r>
        <w:rPr>
          <w:lang w:val="en"/>
        </w:rPr>
        <w:t xml:space="preserve">for the linkage to climate-vulnerability indicators.</w:t>
      </w:r>
    </w:p>
    <w:bookmarkStart w:id="151" w:name="physical-measurement"/>
    <w:p>
      <w:pPr>
        <w:pStyle w:val="Heading4"/>
      </w:pPr>
      <w:r>
        <w:rPr>
          <w:lang w:val="en"/>
        </w:rPr>
        <w:t xml:space="preserve">Physical measurement</w:t>
      </w:r>
    </w:p>
    <w:p>
      <w:pPr>
        <w:pStyle w:val="FirstParagraph"/>
      </w:pPr>
      <w:hyperlink w:anchor="physical-measurement">
        <w:r>
          <w:drawing>
            <wp:inline>
              <wp:extent cx="152400" cy="152400"/>
              <wp:effectExtent b="0" l="0" r="0" t="0"/>
              <wp:docPr descr="" title="" id="14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“Physical measurement”</w:t>
        </w:r>
      </w:hyperlink>
    </w:p>
    <w:bookmarkEnd w:id="151"/>
    <w:p>
      <w:pPr>
        <w:pStyle w:val="BodyText"/>
      </w:pPr>
      <w:r>
        <w:rPr>
          <w:lang w:val="en"/>
        </w:rPr>
        <w:t xml:space="preserve">¶1</w:t>
      </w:r>
      <w:r>
        <w:rPr>
          <w:lang w:val="en"/>
        </w:rPr>
        <w:t xml:space="preserve"> </w:t>
      </w:r>
      <w:r>
        <w:rPr>
          <w:lang w:val="en"/>
        </w:rPr>
        <w:t xml:space="preserve">Recommended metrics</w:t>
      </w:r>
      <w:hyperlink w:anchor="user-content-fn-62">
        <w:r>
          <w:rPr>
            <w:rStyle w:val="Hyperlink"/>
            <w:vertAlign w:val="superscript"/>
            <w:lang w:val="en"/>
          </w:rPr>
          <w:t xml:space="preserve">64</w:t>
        </w:r>
      </w:hyperlink>
      <w:r>
        <w:rPr>
          <w:lang w:val="en"/>
        </w:rPr>
        <w:t xml:space="preserve">:</w:t>
      </w:r>
    </w:p>
    <w:p>
      <w:pPr>
        <w:numPr>
          <w:ilvl w:val="0"/>
          <w:numId w:val="1014"/>
        </w:numPr>
        <w:pStyle w:val="Compact"/>
      </w:pPr>
      <w:r>
        <w:rPr>
          <w:lang w:val="en"/>
        </w:rPr>
        <w:t xml:space="preserve">¶2</w:t>
      </w:r>
      <w:r>
        <w:rPr>
          <w:lang w:val="en"/>
        </w:rPr>
        <w:t xml:space="preserve"> </w:t>
      </w:r>
      <w:r>
        <w:rPr>
          <w:bCs/>
          <w:b/>
          <w:lang w:val="en"/>
        </w:rPr>
        <w:t xml:space="preserve">Wave attenuation rate</w:t>
      </w:r>
      <w:r>
        <w:rPr>
          <w:lang w:val="en"/>
        </w:rPr>
        <w:t xml:space="preserve"> </w:t>
      </w:r>
      <w:r>
        <w:rPr>
          <w:lang w:val="en"/>
        </w:rPr>
        <w:t xml:space="preserve">(% reduction per 100m width)</w:t>
      </w:r>
    </w:p>
    <w:p>
      <w:pPr>
        <w:numPr>
          <w:ilvl w:val="0"/>
          <w:numId w:val="1014"/>
        </w:numPr>
        <w:pStyle w:val="Compact"/>
      </w:pPr>
      <w:r>
        <w:rPr>
          <w:lang w:val="en"/>
        </w:rPr>
        <w:t xml:space="preserve">¶3</w:t>
      </w:r>
      <w:r>
        <w:rPr>
          <w:lang w:val="en"/>
        </w:rPr>
        <w:t xml:space="preserve"> </w:t>
      </w:r>
      <w:r>
        <w:rPr>
          <w:bCs/>
          <w:b/>
          <w:lang w:val="en"/>
        </w:rPr>
        <w:t xml:space="preserve">Storm surge reduction</w:t>
      </w:r>
      <w:r>
        <w:rPr>
          <w:lang w:val="en"/>
        </w:rPr>
        <w:t xml:space="preserve"> </w:t>
      </w:r>
      <w:r>
        <w:rPr>
          <w:lang w:val="en"/>
        </w:rPr>
        <w:t xml:space="preserve">(cm reduction per km width)</w:t>
      </w:r>
    </w:p>
    <w:p>
      <w:pPr>
        <w:numPr>
          <w:ilvl w:val="0"/>
          <w:numId w:val="1014"/>
        </w:numPr>
        <w:pStyle w:val="Compact"/>
      </w:pPr>
      <w:r>
        <w:rPr>
          <w:lang w:val="en"/>
        </w:rPr>
        <w:t xml:space="preserve">¶4</w:t>
      </w:r>
      <w:r>
        <w:rPr>
          <w:lang w:val="en"/>
        </w:rPr>
        <w:t xml:space="preserve"> </w:t>
      </w:r>
      <w:r>
        <w:rPr>
          <w:bCs/>
          <w:b/>
          <w:lang w:val="en"/>
        </w:rPr>
        <w:t xml:space="preserve">Shoreline erosion prevention</w:t>
      </w:r>
      <w:r>
        <w:rPr>
          <w:lang w:val="en"/>
        </w:rPr>
        <w:t xml:space="preserve"> </w:t>
      </w:r>
      <w:r>
        <w:rPr>
          <w:lang w:val="en"/>
        </w:rPr>
        <w:t xml:space="preserve">(m/yr erosion avoided)</w:t>
      </w:r>
    </w:p>
    <w:p>
      <w:pPr>
        <w:numPr>
          <w:ilvl w:val="0"/>
          <w:numId w:val="1014"/>
        </w:numPr>
        <w:pStyle w:val="Compact"/>
      </w:pPr>
      <w:r>
        <w:rPr>
          <w:lang w:val="en"/>
        </w:rPr>
        <w:t xml:space="preserve">¶5</w:t>
      </w:r>
      <w:r>
        <w:rPr>
          <w:lang w:val="en"/>
        </w:rPr>
        <w:t xml:space="preserve"> </w:t>
      </w:r>
      <w:r>
        <w:rPr>
          <w:bCs/>
          <w:b/>
          <w:lang w:val="en"/>
        </w:rPr>
        <w:t xml:space="preserve">Protected coastline length</w:t>
      </w:r>
      <w:r>
        <w:rPr>
          <w:lang w:val="en"/>
        </w:rPr>
        <w:t xml:space="preserve"> </w:t>
      </w:r>
      <w:r>
        <w:rPr>
          <w:lang w:val="en"/>
        </w:rPr>
        <w:t xml:space="preserve">(km fronted by wetlands)</w:t>
      </w:r>
    </w:p>
    <w:p>
      <w:pPr>
        <w:pStyle w:val="FirstParagraph"/>
      </w:pPr>
      <w:r>
        <w:rPr>
          <w:lang w:val="en"/>
        </w:rPr>
        <w:t xml:space="preserve">¶6</w:t>
      </w:r>
      <w:r>
        <w:rPr>
          <w:lang w:val="en"/>
        </w:rPr>
        <w:t xml:space="preserve"> </w:t>
      </w:r>
      <w:r>
        <w:rPr>
          <w:lang w:val="en"/>
        </w:rPr>
        <w:t xml:space="preserve">Beneficiary identification is essential: residential and commercial property owners; infrastructure; agricultural land; coastal communities.</w:t>
      </w:r>
    </w:p>
    <w:bookmarkStart w:id="154" w:name="coastal-protection-service-account"/>
    <w:p>
      <w:pPr>
        <w:pStyle w:val="Heading4"/>
      </w:pPr>
      <w:r>
        <w:rPr>
          <w:lang w:val="en"/>
        </w:rPr>
        <w:t xml:space="preserve">Coastal protection service account</w:t>
      </w:r>
    </w:p>
    <w:p>
      <w:pPr>
        <w:pStyle w:val="FirstParagraph"/>
      </w:pPr>
      <w:hyperlink w:anchor="coastal-protection-service-account">
        <w:r>
          <w:drawing>
            <wp:inline>
              <wp:extent cx="152400" cy="152400"/>
              <wp:effectExtent b="0" l="0" r="0" t="0"/>
              <wp:docPr descr="" title="" id="15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“Coastal protection service account”</w:t>
        </w:r>
      </w:hyperlink>
    </w:p>
    <w:bookmarkEnd w:id="154"/>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Metric</w:t>
            </w:r>
          </w:p>
        </w:tc>
        <w:tc>
          <w:tcPr/>
          <w:p>
            <w:pPr>
              <w:pStyle w:val="Compact"/>
              <w:jc w:val="left"/>
            </w:pPr>
            <w:r>
              <w:rPr>
                <w:lang w:val="en"/>
              </w:rPr>
              <w:t xml:space="preserve">Unit</w:t>
            </w:r>
          </w:p>
        </w:tc>
        <w:tc>
          <w:tcPr/>
          <w:p>
            <w:pPr>
              <w:pStyle w:val="Compact"/>
              <w:jc w:val="left"/>
            </w:pPr>
            <w:r>
              <w:rPr>
                <w:lang w:val="en"/>
              </w:rPr>
              <w:t xml:space="preserve">Value</w:t>
            </w:r>
          </w:p>
        </w:tc>
      </w:tr>
      <w:tr>
        <w:tc>
          <w:tcPr/>
          <w:p>
            <w:pPr>
              <w:pStyle w:val="Compact"/>
              <w:jc w:val="left"/>
            </w:pPr>
            <w:r>
              <w:rPr>
                <w:lang w:val="en"/>
              </w:rPr>
              <w:t xml:space="preserve">Mangrove fringe width</w:t>
            </w:r>
          </w:p>
        </w:tc>
        <w:tc>
          <w:tcPr/>
          <w:p>
            <w:pPr>
              <w:pStyle w:val="Compact"/>
              <w:jc w:val="left"/>
            </w:pPr>
            <w:r>
              <w:rPr>
                <w:lang w:val="en"/>
              </w:rPr>
              <w:t xml:space="preserve">m</w:t>
            </w:r>
          </w:p>
        </w:tc>
        <w:tc>
          <w:tcPr/>
          <w:p>
            <w:pPr>
              <w:pStyle w:val="Compact"/>
            </w:pPr>
          </w:p>
        </w:tc>
      </w:tr>
      <w:tr>
        <w:tc>
          <w:tcPr/>
          <w:p>
            <w:pPr>
              <w:pStyle w:val="Compact"/>
              <w:jc w:val="left"/>
            </w:pPr>
            <w:r>
              <w:rPr>
                <w:lang w:val="en"/>
              </w:rPr>
              <w:t xml:space="preserve">Wave attenuation rate</w:t>
            </w:r>
          </w:p>
        </w:tc>
        <w:tc>
          <w:tcPr/>
          <w:p>
            <w:pPr>
              <w:pStyle w:val="Compact"/>
              <w:jc w:val="left"/>
            </w:pPr>
            <w:r>
              <w:rPr>
                <w:lang w:val="en"/>
              </w:rPr>
              <w:t xml:space="preserve">% per 100m</w:t>
            </w:r>
          </w:p>
        </w:tc>
        <w:tc>
          <w:tcPr/>
          <w:p>
            <w:pPr>
              <w:pStyle w:val="Compact"/>
            </w:pPr>
          </w:p>
        </w:tc>
      </w:tr>
      <w:tr>
        <w:tc>
          <w:tcPr/>
          <w:p>
            <w:pPr>
              <w:pStyle w:val="Compact"/>
              <w:jc w:val="left"/>
            </w:pPr>
            <w:r>
              <w:rPr>
                <w:lang w:val="en"/>
              </w:rPr>
              <w:t xml:space="preserve">Coastline protected</w:t>
            </w:r>
          </w:p>
        </w:tc>
        <w:tc>
          <w:tcPr/>
          <w:p>
            <w:pPr>
              <w:pStyle w:val="Compact"/>
              <w:jc w:val="left"/>
            </w:pPr>
            <w:r>
              <w:rPr>
                <w:lang w:val="en"/>
              </w:rPr>
              <w:t xml:space="preserve">km</w:t>
            </w:r>
          </w:p>
        </w:tc>
        <w:tc>
          <w:tcPr/>
          <w:p>
            <w:pPr>
              <w:pStyle w:val="Compact"/>
            </w:pPr>
          </w:p>
        </w:tc>
      </w:tr>
      <w:tr>
        <w:tc>
          <w:tcPr/>
          <w:p>
            <w:pPr>
              <w:pStyle w:val="Compact"/>
              <w:jc w:val="left"/>
            </w:pPr>
            <w:r>
              <w:rPr>
                <w:lang w:val="en"/>
              </w:rPr>
              <w:t xml:space="preserve">Population protected</w:t>
            </w:r>
          </w:p>
        </w:tc>
        <w:tc>
          <w:tcPr/>
          <w:p>
            <w:pPr>
              <w:pStyle w:val="Compact"/>
              <w:jc w:val="left"/>
            </w:pPr>
            <w:r>
              <w:rPr>
                <w:lang w:val="en"/>
              </w:rPr>
              <w:t xml:space="preserve">persons</w:t>
            </w:r>
          </w:p>
        </w:tc>
        <w:tc>
          <w:tcPr/>
          <w:p>
            <w:pPr>
              <w:pStyle w:val="Compact"/>
            </w:pPr>
          </w:p>
        </w:tc>
      </w:tr>
      <w:tr>
        <w:tc>
          <w:tcPr/>
          <w:p>
            <w:pPr>
              <w:pStyle w:val="Compact"/>
              <w:jc w:val="left"/>
            </w:pPr>
            <w:r>
              <w:rPr>
                <w:lang w:val="en"/>
              </w:rPr>
              <w:t xml:space="preserve">Property value protected</w:t>
            </w:r>
          </w:p>
        </w:tc>
        <w:tc>
          <w:tcPr/>
          <w:p>
            <w:pPr>
              <w:pStyle w:val="Compact"/>
              <w:jc w:val="left"/>
            </w:pPr>
            <w:r>
              <w:rPr>
                <w:lang w:val="en"/>
              </w:rPr>
              <w:t xml:space="preserve">$</w:t>
            </w:r>
          </w:p>
        </w:tc>
        <w:tc>
          <w:tcPr/>
          <w:p>
            <w:pPr>
              <w:pStyle w:val="Compact"/>
            </w:pPr>
          </w:p>
        </w:tc>
      </w:tr>
      <w:tr>
        <w:tc>
          <w:tcPr/>
          <w:p>
            <w:pPr>
              <w:pStyle w:val="Compact"/>
              <w:jc w:val="left"/>
            </w:pPr>
            <w:r>
              <w:rPr>
                <w:lang w:val="en"/>
              </w:rPr>
              <w:t xml:space="preserve">Average annual protection service</w:t>
            </w:r>
          </w:p>
        </w:tc>
        <w:tc>
          <w:tcPr/>
          <w:p>
            <w:pPr>
              <w:pStyle w:val="Compact"/>
              <w:jc w:val="left"/>
            </w:pPr>
            <w:r>
              <w:rPr>
                <w:lang w:val="en"/>
              </w:rPr>
              <w:t xml:space="preserve">$ avoided damages/yr</w:t>
            </w:r>
          </w:p>
        </w:tc>
        <w:tc>
          <w:tcPr/>
          <w:p>
            <w:pPr>
              <w:pStyle w:val="Compact"/>
            </w:pPr>
          </w:p>
        </w:tc>
      </w:tr>
    </w:tbl>
    <w:bookmarkStart w:id="157" w:name="Xedd5b431e7b686e16fe87e65c3641ce80f6e4e8"/>
    <w:p>
      <w:pPr>
        <w:pStyle w:val="Heading3"/>
      </w:pPr>
      <w:r>
        <w:rPr>
          <w:lang w:val="en"/>
        </w:rPr>
        <w:t xml:space="preserve">3.5</w:t>
      </w:r>
      <w:r>
        <w:rPr>
          <w:lang w:val="en"/>
        </w:rPr>
        <w:t xml:space="preserve"> </w:t>
      </w:r>
      <w:r>
        <w:rPr>
          <w:lang w:val="en"/>
        </w:rPr>
        <w:t xml:space="preserve">Nursery Habitat Services</w:t>
      </w:r>
    </w:p>
    <w:p>
      <w:pPr>
        <w:pStyle w:val="FirstParagraph"/>
      </w:pPr>
      <w:hyperlink w:anchor="Xedd5b431e7b686e16fe87e65c3641ce80f6e4e8">
        <w:r>
          <w:drawing>
            <wp:inline>
              <wp:extent cx="152400" cy="152400"/>
              <wp:effectExtent b="0" l="0" r="0" t="0"/>
              <wp:docPr descr="" title="" id="15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Nursery Habitat Services”</w:t>
        </w:r>
      </w:hyperlink>
    </w:p>
    <w:bookmarkEnd w:id="157"/>
    <w:p>
      <w:pPr>
        <w:pStyle w:val="BodyText"/>
      </w:pPr>
      <w:r>
        <w:rPr>
          <w:lang w:val="en"/>
        </w:rPr>
        <w:t xml:space="preserve">¶1</w:t>
      </w:r>
      <w:r>
        <w:rPr>
          <w:lang w:val="en"/>
        </w:rPr>
        <w:t xml:space="preserve"> </w:t>
      </w:r>
      <w:r>
        <w:rPr>
          <w:lang w:val="en"/>
        </w:rPr>
        <w:t xml:space="preserve">Mangroves and coastal wetlands provide nursery habitat through structural complexity (roots and stems providing refuge), food resources (detritus and invertebrate prey), environmental moderation (reduced wave energy and thermal buffering), and connectivity to offshore adult habitats</w:t>
      </w:r>
      <w:hyperlink w:anchor="user-content-fn-32">
        <w:r>
          <w:rPr>
            <w:rStyle w:val="Hyperlink"/>
            <w:vertAlign w:val="superscript"/>
            <w:lang w:val="en"/>
          </w:rPr>
          <w:t xml:space="preserve">65</w:t>
        </w:r>
      </w:hyperlink>
      <w:r>
        <w:rPr>
          <w:lang w:val="en"/>
        </w:rPr>
        <w:t xml:space="preserve">,</w:t>
      </w:r>
      <w:r>
        <w:rPr>
          <w:lang w:val="en"/>
        </w:rPr>
        <w:t xml:space="preserve"> </w:t>
      </w:r>
      <w:hyperlink w:anchor="user-content-fn-86">
        <w:r>
          <w:rPr>
            <w:rStyle w:val="Hyperlink"/>
            <w:vertAlign w:val="superscript"/>
            <w:lang w:val="en"/>
          </w:rPr>
          <w:t xml:space="preserve">66</w:t>
        </w:r>
      </w:hyperlink>
      <w:r>
        <w:rPr>
          <w:lang w:val="en"/>
        </w:rPr>
        <w:t xml:space="preserve">. The nursery function supports commercial and subsistence fisheries by providing juvenile habitat.</w:t>
      </w:r>
    </w:p>
    <w:bookmarkStart w:id="160" w:name="X8cbdf2765236ae8e6184ec8296d11c18f9f90d7"/>
    <w:p>
      <w:pPr>
        <w:pStyle w:val="Heading4"/>
      </w:pPr>
      <w:r>
        <w:rPr>
          <w:lang w:val="en"/>
        </w:rPr>
        <w:t xml:space="preserve">Ecological basis and intermediate service accounting</w:t>
      </w:r>
    </w:p>
    <w:p>
      <w:pPr>
        <w:pStyle w:val="FirstParagraph"/>
      </w:pPr>
      <w:hyperlink w:anchor="X8cbdf2765236ae8e6184ec8296d11c18f9f90d7">
        <w:r>
          <w:drawing>
            <wp:inline>
              <wp:extent cx="152400" cy="152400"/>
              <wp:effectExtent b="0" l="0" r="0" t="0"/>
              <wp:docPr descr="" title="" id="1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“Ecological basis and intermediate service accounting”</w:t>
        </w:r>
      </w:hyperlink>
    </w:p>
    <w:bookmarkEnd w:id="160"/>
    <w:p>
      <w:pPr>
        <w:pStyle w:val="BodyText"/>
      </w:pPr>
      <w:r>
        <w:rPr>
          <w:lang w:val="en"/>
        </w:rPr>
        <w:t xml:space="preserve">¶1</w:t>
      </w:r>
      <w:r>
        <w:rPr>
          <w:lang w:val="en"/>
        </w:rPr>
        <w:t xml:space="preserve"> </w:t>
      </w:r>
      <w:r>
        <w:rPr>
          <w:lang w:val="en"/>
        </w:rPr>
        <w:t xml:space="preserve">Nursery services are classified as intermediate ecosystem services in SEEA EA (para 6.15): they contribute to the final biomass provisioning services recorded in fisheries accounts</w:t>
      </w:r>
      <w:hyperlink w:anchor="user-content-fn-63">
        <w:r>
          <w:rPr>
            <w:rStyle w:val="Hyperlink"/>
            <w:vertAlign w:val="superscript"/>
            <w:lang w:val="en"/>
          </w:rPr>
          <w:t xml:space="preserve">67</w:t>
        </w:r>
      </w:hyperlink>
      <w:r>
        <w:rPr>
          <w:lang w:val="en"/>
        </w:rPr>
        <w:t xml:space="preserve">. To avoid double counting, nursery service values should not be added to the fisheries production they support. Record separately as an intermediate input using the supply-use framework in SEEA EA Chapter 7. If a fisheries accounting circular is compiled (e.g., TG-6.7), document the linkage explicitly</w:t>
      </w:r>
      <w:hyperlink w:anchor="user-content-fn-64">
        <w:r>
          <w:rPr>
            <w:rStyle w:val="Hyperlink"/>
            <w:vertAlign w:val="superscript"/>
            <w:lang w:val="en"/>
          </w:rPr>
          <w:t xml:space="preserve">68</w:t>
        </w:r>
      </w:hyperlink>
      <w:r>
        <w:rPr>
          <w:lang w:val="en"/>
        </w:rPr>
        <w:t xml:space="preserve">.</w:t>
      </w:r>
    </w:p>
    <w:bookmarkStart w:id="163" w:name="species-habitat-relationships"/>
    <w:p>
      <w:pPr>
        <w:pStyle w:val="Heading4"/>
      </w:pPr>
      <w:r>
        <w:rPr>
          <w:lang w:val="en"/>
        </w:rPr>
        <w:t xml:space="preserve">Species-habitat relationships</w:t>
      </w:r>
    </w:p>
    <w:p>
      <w:pPr>
        <w:pStyle w:val="FirstParagraph"/>
      </w:pPr>
      <w:hyperlink w:anchor="species-habitat-relationships">
        <w:r>
          <w:drawing>
            <wp:inline>
              <wp:extent cx="152400" cy="152400"/>
              <wp:effectExtent b="0" l="0" r="0" t="0"/>
              <wp:docPr descr="" title="" id="1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“Species-habitat relationships”</w:t>
        </w:r>
      </w:hyperlink>
    </w:p>
    <w:bookmarkEnd w:id="163"/>
    <w:p>
      <w:pPr>
        <w:pStyle w:val="BodyText"/>
      </w:pPr>
      <w:r>
        <w:rPr>
          <w:lang w:val="en"/>
        </w:rPr>
        <w:t xml:space="preserve">¶1</w:t>
      </w:r>
      <w:r>
        <w:rPr>
          <w:lang w:val="en"/>
        </w:rPr>
        <w:t xml:space="preserve"> </w:t>
      </w:r>
      <w:r>
        <w:rPr>
          <w:lang w:val="en"/>
        </w:rPr>
        <w:t xml:space="preserve">Key evidence linking mangrove/wetland habitat to fisheries productivity</w:t>
      </w:r>
      <w:hyperlink w:anchor="user-content-fn-65">
        <w:r>
          <w:rPr>
            <w:rStyle w:val="Hyperlink"/>
            <w:vertAlign w:val="superscript"/>
            <w:lang w:val="en"/>
          </w:rPr>
          <w:t xml:space="preserve">69</w:t>
        </w:r>
      </w:hyperlink>
      <w:r>
        <w:rPr>
          <w:lang w:val="en"/>
        </w:rPr>
        <w:t xml:space="preserve">,</w:t>
      </w:r>
      <w:r>
        <w:rPr>
          <w:lang w:val="en"/>
        </w:rPr>
        <w:t xml:space="preserve"> </w:t>
      </w:r>
      <w:hyperlink w:anchor="user-content-fn-87">
        <w:r>
          <w:rPr>
            <w:rStyle w:val="Hyperlink"/>
            <w:vertAlign w:val="superscript"/>
            <w:lang w:val="en"/>
          </w:rPr>
          <w:t xml:space="preserve">70</w:t>
        </w:r>
      </w:hyperlink>
      <w:r>
        <w:rPr>
          <w:lang w:val="en"/>
        </w:rPr>
        <w:t xml:space="preserve">:</w:t>
      </w:r>
    </w:p>
    <w:p>
      <w:pPr>
        <w:numPr>
          <w:ilvl w:val="0"/>
          <w:numId w:val="1015"/>
        </w:numPr>
        <w:pStyle w:val="Compact"/>
      </w:pPr>
      <w:r>
        <w:rPr>
          <w:lang w:val="en"/>
        </w:rPr>
        <w:t xml:space="preserve">¶2</w:t>
      </w:r>
      <w:r>
        <w:rPr>
          <w:lang w:val="en"/>
        </w:rPr>
        <w:t xml:space="preserve"> </w:t>
      </w:r>
      <w:r>
        <w:rPr>
          <w:lang w:val="en"/>
        </w:rPr>
        <w:t xml:space="preserve">Juvenile density surveys quantifying fish and invertebrate use of wetland habitats</w:t>
      </w:r>
    </w:p>
    <w:p>
      <w:pPr>
        <w:numPr>
          <w:ilvl w:val="0"/>
          <w:numId w:val="1015"/>
        </w:numPr>
        <w:pStyle w:val="Compact"/>
      </w:pPr>
      <w:r>
        <w:rPr>
          <w:lang w:val="en"/>
        </w:rPr>
        <w:t xml:space="preserve">¶3</w:t>
      </w:r>
      <w:r>
        <w:rPr>
          <w:lang w:val="en"/>
        </w:rPr>
        <w:t xml:space="preserve"> </w:t>
      </w:r>
      <w:r>
        <w:rPr>
          <w:lang w:val="en"/>
        </w:rPr>
        <w:t xml:space="preserve">Tagging and genetic studies tracing adult fish to nursery origins</w:t>
      </w:r>
    </w:p>
    <w:p>
      <w:pPr>
        <w:numPr>
          <w:ilvl w:val="0"/>
          <w:numId w:val="1015"/>
        </w:numPr>
        <w:pStyle w:val="Compact"/>
      </w:pPr>
      <w:r>
        <w:rPr>
          <w:lang w:val="en"/>
        </w:rPr>
        <w:t xml:space="preserve">¶4</w:t>
      </w:r>
      <w:r>
        <w:rPr>
          <w:lang w:val="en"/>
        </w:rPr>
        <w:t xml:space="preserve"> </w:t>
      </w:r>
      <w:r>
        <w:rPr>
          <w:lang w:val="en"/>
        </w:rPr>
        <w:t xml:space="preserve">Correlations between wetland extent and fisheries catch at regional scales</w:t>
      </w:r>
    </w:p>
    <w:p>
      <w:pPr>
        <w:pStyle w:val="FirstParagraph"/>
      </w:pPr>
      <w:r>
        <w:rPr>
          <w:lang w:val="en"/>
        </w:rPr>
        <w:t xml:space="preserve">¶5</w:t>
      </w:r>
      <w:r>
        <w:rPr>
          <w:lang w:val="en"/>
        </w:rPr>
        <w:t xml:space="preserve"> </w:t>
      </w:r>
      <w:r>
        <w:rPr>
          <w:lang w:val="en"/>
        </w:rPr>
        <w:t xml:space="preserve">Published syntheses document positive relationships between mangrove area and catches of penaeid shrimp, mud crabs, barramundi, and snappers</w:t>
      </w:r>
      <w:hyperlink w:anchor="user-content-fn-66">
        <w:r>
          <w:rPr>
            <w:rStyle w:val="Hyperlink"/>
            <w:vertAlign w:val="superscript"/>
            <w:lang w:val="en"/>
          </w:rPr>
          <w:t xml:space="preserve">71</w:t>
        </w:r>
      </w:hyperlink>
      <w:r>
        <w:rPr>
          <w:lang w:val="en"/>
        </w:rPr>
        <w:t xml:space="preserve">. Anneboina &amp; Kumar (2017) estimated the marginal effect at 1.86 t/ha fringe mangrove per year (~USD 1,900/ha/yr), derived from a stochastic production frontier model and not applicable as a universal transfer value without local calibration</w:t>
      </w:r>
      <w:hyperlink w:anchor="user-content-fn-67">
        <w:r>
          <w:rPr>
            <w:rStyle w:val="Hyperlink"/>
            <w:vertAlign w:val="superscript"/>
            <w:lang w:val="en"/>
          </w:rPr>
          <w:t xml:space="preserve">72</w:t>
        </w:r>
      </w:hyperlink>
      <w:r>
        <w:rPr>
          <w:lang w:val="en"/>
        </w:rPr>
        <w:t xml:space="preserve">.</w:t>
      </w:r>
    </w:p>
    <w:bookmarkStart w:id="166" w:name="fish-recruitment-metrics"/>
    <w:p>
      <w:pPr>
        <w:pStyle w:val="Heading4"/>
      </w:pPr>
      <w:r>
        <w:rPr>
          <w:lang w:val="en"/>
        </w:rPr>
        <w:t xml:space="preserve">Fish recruitment metrics</w:t>
      </w:r>
    </w:p>
    <w:p>
      <w:pPr>
        <w:pStyle w:val="FirstParagraph"/>
      </w:pPr>
      <w:hyperlink w:anchor="fish-recruitment-metrics">
        <w:r>
          <w:drawing>
            <wp:inline>
              <wp:extent cx="152400" cy="152400"/>
              <wp:effectExtent b="0" l="0" r="0" t="0"/>
              <wp:docPr descr="" title="" id="1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“Fish recruitment metrics”</w:t>
        </w:r>
      </w:hyperlink>
    </w:p>
    <w:bookmarkEnd w:id="166"/>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Metric</w:t>
            </w:r>
          </w:p>
        </w:tc>
        <w:tc>
          <w:tcPr/>
          <w:p>
            <w:pPr>
              <w:pStyle w:val="Compact"/>
              <w:jc w:val="left"/>
            </w:pPr>
            <w:r>
              <w:rPr>
                <w:lang w:val="en"/>
              </w:rPr>
              <w:t xml:space="preserve">Description</w:t>
            </w:r>
          </w:p>
        </w:tc>
      </w:tr>
      <w:tr>
        <w:tc>
          <w:tcPr/>
          <w:p>
            <w:pPr>
              <w:pStyle w:val="Compact"/>
              <w:jc w:val="left"/>
            </w:pPr>
            <w:r>
              <w:rPr>
                <w:bCs/>
                <w:b/>
                <w:lang w:val="en"/>
              </w:rPr>
              <w:t xml:space="preserve">Juvenile fish density</w:t>
            </w:r>
          </w:p>
        </w:tc>
        <w:tc>
          <w:tcPr/>
          <w:p>
            <w:pPr>
              <w:pStyle w:val="Compact"/>
              <w:jc w:val="left"/>
            </w:pPr>
            <w:r>
              <w:rPr>
                <w:lang w:val="en"/>
              </w:rPr>
              <w:t xml:space="preserve">Individuals per unit area or volume of habitat.</w:t>
            </w:r>
          </w:p>
        </w:tc>
      </w:tr>
      <w:tr>
        <w:tc>
          <w:tcPr/>
          <w:p>
            <w:pPr>
              <w:pStyle w:val="Compact"/>
              <w:jc w:val="left"/>
            </w:pPr>
            <w:r>
              <w:rPr>
                <w:bCs/>
                <w:b/>
                <w:lang w:val="en"/>
              </w:rPr>
              <w:t xml:space="preserve">Species composition</w:t>
            </w:r>
          </w:p>
        </w:tc>
        <w:tc>
          <w:tcPr/>
          <w:p>
            <w:pPr>
              <w:pStyle w:val="Compact"/>
              <w:jc w:val="left"/>
            </w:pPr>
            <w:r>
              <w:rPr>
                <w:lang w:val="en"/>
              </w:rPr>
              <w:t xml:space="preserve">Diversity and proportion of commercially important species.</w:t>
            </w:r>
          </w:p>
        </w:tc>
      </w:tr>
      <w:tr>
        <w:tc>
          <w:tcPr/>
          <w:p>
            <w:pPr>
              <w:pStyle w:val="Compact"/>
              <w:jc w:val="left"/>
            </w:pPr>
            <w:r>
              <w:rPr>
                <w:bCs/>
                <w:b/>
                <w:lang w:val="en"/>
              </w:rPr>
              <w:t xml:space="preserve">Growth rates</w:t>
            </w:r>
          </w:p>
        </w:tc>
        <w:tc>
          <w:tcPr/>
          <w:p>
            <w:pPr>
              <w:pStyle w:val="Compact"/>
              <w:jc w:val="left"/>
            </w:pPr>
            <w:r>
              <w:rPr>
                <w:lang w:val="en"/>
              </w:rPr>
              <w:t xml:space="preserve">Productivity of the nursery habitat.</w:t>
            </w:r>
          </w:p>
        </w:tc>
      </w:tr>
      <w:tr>
        <w:tc>
          <w:tcPr/>
          <w:p>
            <w:pPr>
              <w:pStyle w:val="Compact"/>
              <w:jc w:val="left"/>
            </w:pPr>
            <w:r>
              <w:rPr>
                <w:bCs/>
                <w:b/>
                <w:lang w:val="en"/>
              </w:rPr>
              <w:t xml:space="preserve">Survival rates</w:t>
            </w:r>
          </w:p>
        </w:tc>
        <w:tc>
          <w:tcPr/>
          <w:p>
            <w:pPr>
              <w:pStyle w:val="Compact"/>
              <w:jc w:val="left"/>
            </w:pPr>
            <w:r>
              <w:rPr>
                <w:lang w:val="en"/>
              </w:rPr>
              <w:t xml:space="preserve">Proportion of juveniles surviving to recruit to adult populations.</w:t>
            </w:r>
          </w:p>
        </w:tc>
      </w:tr>
      <w:tr>
        <w:tc>
          <w:tcPr/>
          <w:p>
            <w:pPr>
              <w:pStyle w:val="Compact"/>
              <w:jc w:val="left"/>
            </w:pPr>
            <w:r>
              <w:rPr>
                <w:bCs/>
                <w:b/>
                <w:lang w:val="en"/>
              </w:rPr>
              <w:t xml:space="preserve">Recruitment contribution</w:t>
            </w:r>
          </w:p>
        </w:tc>
        <w:tc>
          <w:tcPr/>
          <w:p>
            <w:pPr>
              <w:pStyle w:val="Compact"/>
              <w:jc w:val="left"/>
            </w:pPr>
            <w:r>
              <w:rPr>
                <w:lang w:val="en"/>
              </w:rPr>
              <w:t xml:space="preserve">Proportion of adult population derived from wetland nurseries.</w:t>
            </w:r>
          </w:p>
        </w:tc>
      </w:tr>
    </w:tbl>
    <w:p>
      <w:pPr>
        <w:pStyle w:val="BodyText"/>
      </w:pPr>
      <w:r>
        <w:rPr>
          <w:lang w:val="en"/>
        </w:rPr>
        <w:t xml:space="preserve">¶1</w:t>
      </w:r>
      <w:r>
        <w:rPr>
          <w:lang w:val="en"/>
        </w:rPr>
        <w:t xml:space="preserve"> </w:t>
      </w:r>
      <w:r>
        <w:rPr>
          <w:lang w:val="en"/>
        </w:rPr>
        <w:t xml:space="preserve">Where field data are limited, wetland area with demonstrated fish use (based on published studies for the biogeographic region) provides a Tier 1 proxy.</w:t>
      </w:r>
    </w:p>
    <w:p>
      <w:pPr>
        <w:pStyle w:val="BodyText"/>
      </w:pPr>
      <w:r>
        <w:rPr>
          <w:lang w:val="en"/>
        </w:rPr>
        <w:t xml:space="preserve">¶2</w:t>
      </w:r>
      <w:r>
        <w:rPr>
          <w:lang w:val="en"/>
        </w:rPr>
        <w:t xml:space="preserve"> </w:t>
      </w:r>
      <w:r>
        <w:rPr>
          <w:bCs/>
          <w:b/>
          <w:lang w:val="en"/>
        </w:rPr>
        <w:t xml:space="preserve">Allocation rule for intermediate vs final service value.</w:t>
      </w:r>
      <w:r>
        <w:rPr>
          <w:lang w:val="en"/>
        </w:rPr>
        <w:t xml:space="preserve"> </w:t>
      </w:r>
      <w:r>
        <w:rPr>
          <w:lang w:val="en"/>
        </w:rPr>
        <w:t xml:space="preserve">Record the intermediate nursery service at its marginal contribution to the final catch: production-function elasticity of catch with respect to nursery habitat multiplied by catch value. The final fisheries provisioning entry is reported net of this intermediate value. Published estimates indicate 30—50% of penaeid shrimp catch in tropical mangrove countries is traceable to mangrove nursery use (Hutchison et al. 2014). Cross-reference</w:t>
      </w:r>
      <w:r>
        <w:rPr>
          <w:lang w:val="en"/>
        </w:rPr>
        <w:t xml:space="preserve"> </w:t>
      </w:r>
      <w:hyperlink r:id="rId167">
        <w:r>
          <w:rPr>
            <w:rStyle w:val="Hyperlink"/>
            <w:bCs/>
            <w:b/>
            <w:lang w:val="en"/>
          </w:rPr>
          <w:t xml:space="preserve">TG-4.10 Fisheries Statistics and EBM</w:t>
        </w:r>
      </w:hyperlink>
      <w:r>
        <w:rPr>
          <w:lang w:val="en"/>
        </w:rPr>
        <w:t xml:space="preserve"> </w:t>
      </w:r>
      <w:r>
        <w:rPr>
          <w:lang w:val="en"/>
        </w:rPr>
        <w:t xml:space="preserve">for the fisheries-account interface.</w:t>
      </w:r>
    </w:p>
    <w:bookmarkStart w:id="170" w:name="nursery-service-account-structure"/>
    <w:p>
      <w:pPr>
        <w:pStyle w:val="Heading4"/>
      </w:pPr>
      <w:r>
        <w:rPr>
          <w:lang w:val="en"/>
        </w:rPr>
        <w:t xml:space="preserve">Nursery service account structure</w:t>
      </w:r>
    </w:p>
    <w:p>
      <w:pPr>
        <w:pStyle w:val="FirstParagraph"/>
      </w:pPr>
      <w:hyperlink w:anchor="nursery-service-account-structure">
        <w:r>
          <w:drawing>
            <wp:inline>
              <wp:extent cx="152400" cy="152400"/>
              <wp:effectExtent b="0" l="0" r="0" t="0"/>
              <wp:docPr descr="" title="" id="1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“Nursery service account structure”</w:t>
        </w:r>
      </w:hyperlink>
    </w:p>
    <w:bookmarkEnd w:id="170"/>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Metric</w:t>
            </w:r>
          </w:p>
        </w:tc>
        <w:tc>
          <w:tcPr/>
          <w:p>
            <w:pPr>
              <w:pStyle w:val="Compact"/>
              <w:jc w:val="left"/>
            </w:pPr>
            <w:r>
              <w:rPr>
                <w:lang w:val="en"/>
              </w:rPr>
              <w:t xml:space="preserve">Unit</w:t>
            </w:r>
          </w:p>
        </w:tc>
        <w:tc>
          <w:tcPr/>
          <w:p>
            <w:pPr>
              <w:pStyle w:val="Compact"/>
              <w:jc w:val="left"/>
            </w:pPr>
            <w:r>
              <w:rPr>
                <w:lang w:val="en"/>
              </w:rPr>
              <w:t xml:space="preserve">Value</w:t>
            </w:r>
          </w:p>
        </w:tc>
      </w:tr>
      <w:tr>
        <w:tc>
          <w:tcPr/>
          <w:p>
            <w:pPr>
              <w:pStyle w:val="Compact"/>
              <w:jc w:val="left"/>
            </w:pPr>
            <w:r>
              <w:rPr>
                <w:lang w:val="en"/>
              </w:rPr>
              <w:t xml:space="preserve">Wetland nursery habitat area</w:t>
            </w:r>
          </w:p>
        </w:tc>
        <w:tc>
          <w:tcPr/>
          <w:p>
            <w:pPr>
              <w:pStyle w:val="Compact"/>
              <w:jc w:val="left"/>
            </w:pPr>
            <w:r>
              <w:rPr>
                <w:lang w:val="en"/>
              </w:rPr>
              <w:t xml:space="preserve">ha</w:t>
            </w:r>
          </w:p>
        </w:tc>
        <w:tc>
          <w:tcPr/>
          <w:p>
            <w:pPr>
              <w:pStyle w:val="Compact"/>
            </w:pPr>
          </w:p>
        </w:tc>
      </w:tr>
      <w:tr>
        <w:tc>
          <w:tcPr/>
          <w:p>
            <w:pPr>
              <w:pStyle w:val="Compact"/>
              <w:jc w:val="left"/>
            </w:pPr>
            <w:r>
              <w:rPr>
                <w:lang w:val="en"/>
              </w:rPr>
              <w:t xml:space="preserve">Juvenile fish density</w:t>
            </w:r>
          </w:p>
        </w:tc>
        <w:tc>
          <w:tcPr/>
          <w:p>
            <w:pPr>
              <w:pStyle w:val="Compact"/>
              <w:jc w:val="left"/>
            </w:pPr>
            <w:r>
              <w:rPr>
                <w:lang w:val="en"/>
              </w:rPr>
              <w:t xml:space="preserve">individuals/ha</w:t>
            </w:r>
          </w:p>
        </w:tc>
        <w:tc>
          <w:tcPr/>
          <w:p>
            <w:pPr>
              <w:pStyle w:val="Compact"/>
            </w:pPr>
          </w:p>
        </w:tc>
      </w:tr>
      <w:tr>
        <w:tc>
          <w:tcPr/>
          <w:p>
            <w:pPr>
              <w:pStyle w:val="Compact"/>
              <w:jc w:val="left"/>
            </w:pPr>
            <w:r>
              <w:rPr>
                <w:lang w:val="en"/>
              </w:rPr>
              <w:t xml:space="preserve">Commercially important species</w:t>
            </w:r>
          </w:p>
        </w:tc>
        <w:tc>
          <w:tcPr/>
          <w:p>
            <w:pPr>
              <w:pStyle w:val="Compact"/>
              <w:jc w:val="left"/>
            </w:pPr>
            <w:r>
              <w:rPr>
                <w:lang w:val="en"/>
              </w:rPr>
              <w:t xml:space="preserve">count</w:t>
            </w:r>
          </w:p>
        </w:tc>
        <w:tc>
          <w:tcPr/>
          <w:p>
            <w:pPr>
              <w:pStyle w:val="Compact"/>
            </w:pPr>
          </w:p>
        </w:tc>
      </w:tr>
      <w:tr>
        <w:tc>
          <w:tcPr/>
          <w:p>
            <w:pPr>
              <w:pStyle w:val="Compact"/>
              <w:jc w:val="left"/>
            </w:pPr>
            <w:r>
              <w:rPr>
                <w:lang w:val="en"/>
              </w:rPr>
              <w:t xml:space="preserve">Annual recruitment to fisheries</w:t>
            </w:r>
          </w:p>
        </w:tc>
        <w:tc>
          <w:tcPr/>
          <w:p>
            <w:pPr>
              <w:pStyle w:val="Compact"/>
              <w:jc w:val="left"/>
            </w:pPr>
            <w:r>
              <w:rPr>
                <w:lang w:val="en"/>
              </w:rPr>
              <w:t xml:space="preserve">tonnes</w:t>
            </w:r>
          </w:p>
        </w:tc>
        <w:tc>
          <w:tcPr/>
          <w:p>
            <w:pPr>
              <w:pStyle w:val="Compact"/>
            </w:pPr>
          </w:p>
        </w:tc>
      </w:tr>
      <w:tr>
        <w:tc>
          <w:tcPr/>
          <w:p>
            <w:pPr>
              <w:pStyle w:val="Compact"/>
              <w:jc w:val="left"/>
            </w:pPr>
            <w:r>
              <w:rPr>
                <w:lang w:val="en"/>
              </w:rPr>
              <w:t xml:space="preserve">Proportion from wetland nurseries</w:t>
            </w:r>
          </w:p>
        </w:tc>
        <w:tc>
          <w:tcPr/>
          <w:p>
            <w:pPr>
              <w:pStyle w:val="Compact"/>
              <w:jc w:val="left"/>
            </w:pPr>
            <w:r>
              <w:rPr>
                <w:lang w:val="en"/>
              </w:rPr>
              <w:t xml:space="preserve">%</w:t>
            </w:r>
          </w:p>
        </w:tc>
        <w:tc>
          <w:tcPr/>
          <w:p>
            <w:pPr>
              <w:pStyle w:val="Compact"/>
            </w:pPr>
          </w:p>
        </w:tc>
      </w:tr>
      <w:tr>
        <w:tc>
          <w:tcPr/>
          <w:p>
            <w:pPr>
              <w:pStyle w:val="Compact"/>
              <w:jc w:val="left"/>
            </w:pPr>
            <w:r>
              <w:rPr>
                <w:lang w:val="en"/>
              </w:rPr>
              <w:t xml:space="preserve">Contribution to fisheries production</w:t>
            </w:r>
          </w:p>
        </w:tc>
        <w:tc>
          <w:tcPr/>
          <w:p>
            <w:pPr>
              <w:pStyle w:val="Compact"/>
              <w:jc w:val="left"/>
            </w:pPr>
            <w:r>
              <w:rPr>
                <w:lang w:val="en"/>
              </w:rPr>
              <w:t xml:space="preserve">tonnes/yr</w:t>
            </w:r>
          </w:p>
        </w:tc>
        <w:tc>
          <w:tcPr/>
          <w:p>
            <w:pPr>
              <w:pStyle w:val="Compact"/>
            </w:pPr>
          </w:p>
        </w:tc>
      </w:tr>
    </w:tbl>
    <w:bookmarkStart w:id="173" w:name="Xbcac7ef5056126db1ab409069d542e990a33798"/>
    <w:p>
      <w:pPr>
        <w:pStyle w:val="Heading4"/>
      </w:pPr>
      <w:r>
        <w:rPr>
          <w:lang w:val="en"/>
        </w:rPr>
        <w:t xml:space="preserve">Provisioning services — partition with fisheries account</w:t>
      </w:r>
    </w:p>
    <w:p>
      <w:pPr>
        <w:pStyle w:val="FirstParagraph"/>
      </w:pPr>
      <w:hyperlink w:anchor="Xbcac7ef5056126db1ab409069d542e990a33798">
        <w:r>
          <w:drawing>
            <wp:inline>
              <wp:extent cx="152400" cy="152400"/>
              <wp:effectExtent b="0" l="0" r="0" t="0"/>
              <wp:docPr descr="" title="" id="1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“Provisioning services — partition with fisheries account”</w:t>
        </w:r>
      </w:hyperlink>
    </w:p>
    <w:bookmarkEnd w:id="173"/>
    <w:p>
      <w:pPr>
        <w:numPr>
          <w:ilvl w:val="0"/>
          <w:numId w:val="1016"/>
        </w:numPr>
        <w:pStyle w:val="Compact"/>
      </w:pPr>
      <w:r>
        <w:rPr>
          <w:lang w:val="en"/>
        </w:rPr>
        <w:t xml:space="preserve">¶1</w:t>
      </w:r>
      <w:r>
        <w:rPr>
          <w:lang w:val="en"/>
        </w:rPr>
        <w:t xml:space="preserve"> </w:t>
      </w:r>
      <w:r>
        <w:rPr>
          <w:iCs/>
          <w:i/>
          <w:lang w:val="en"/>
        </w:rPr>
        <w:t xml:space="preserve">Plant-derived NTFPs:</w:t>
      </w:r>
      <w:r>
        <w:rPr>
          <w:lang w:val="en"/>
        </w:rPr>
        <w:t xml:space="preserve"> </w:t>
      </w:r>
      <w:r>
        <w:rPr>
          <w:lang w:val="en"/>
        </w:rPr>
        <w:t xml:space="preserve">timber poles, fuelwood, honey, tannin, palm fronds, medicinal plants, dyes, and resins — recorded in this circular’s provisioning section.</w:t>
      </w:r>
    </w:p>
    <w:p>
      <w:pPr>
        <w:numPr>
          <w:ilvl w:val="0"/>
          <w:numId w:val="1016"/>
        </w:numPr>
        <w:pStyle w:val="Compact"/>
      </w:pPr>
      <w:r>
        <w:rPr>
          <w:lang w:val="en"/>
        </w:rPr>
        <w:t xml:space="preserve">¶2</w:t>
      </w:r>
      <w:r>
        <w:rPr>
          <w:lang w:val="en"/>
        </w:rPr>
        <w:t xml:space="preserve"> </w:t>
      </w:r>
      <w:r>
        <w:rPr>
          <w:iCs/>
          <w:i/>
          <w:lang w:val="en"/>
        </w:rPr>
        <w:t xml:space="preserve">Mangrove-substrate fauna harvest:</w:t>
      </w:r>
      <w:r>
        <w:rPr>
          <w:lang w:val="en"/>
        </w:rPr>
        <w:t xml:space="preserve"> </w:t>
      </w:r>
      <w:r>
        <w:rPr>
          <w:lang w:val="en"/>
        </w:rPr>
        <w:t xml:space="preserve">mud crab, cockle, wild shrimp post-larvae, mudskipper — route through the fisheries account (</w:t>
      </w:r>
      <w:hyperlink r:id="rId167">
        <w:r>
          <w:rPr>
            <w:rStyle w:val="Hyperlink"/>
            <w:bCs/>
            <w:b/>
            <w:lang w:val="en"/>
          </w:rPr>
          <w:t xml:space="preserve">TG-4.10</w:t>
        </w:r>
      </w:hyperlink>
      <w:r>
        <w:rPr>
          <w:lang w:val="en"/>
        </w:rPr>
        <w:t xml:space="preserve">) where catch statistics exist. Where unavailable, record here as provisional pending fisheries account integration. The intermediate nursery allocation rule applies to wild post-larvae collection.</w:t>
      </w:r>
    </w:p>
    <w:bookmarkStart w:id="176" w:name="Xc12d35d6a2e52e12adb58f56af8b320d3fcc96a"/>
    <w:p>
      <w:pPr>
        <w:pStyle w:val="Heading3"/>
      </w:pPr>
      <w:r>
        <w:rPr>
          <w:lang w:val="en"/>
        </w:rPr>
        <w:t xml:space="preserve">3.6</w:t>
      </w:r>
      <w:r>
        <w:rPr>
          <w:lang w:val="en"/>
        </w:rPr>
        <w:t xml:space="preserve"> </w:t>
      </w:r>
      <w:r>
        <w:rPr>
          <w:lang w:val="en"/>
        </w:rPr>
        <w:t xml:space="preserve">Valuation Methods</w:t>
      </w:r>
    </w:p>
    <w:p>
      <w:pPr>
        <w:pStyle w:val="FirstParagraph"/>
      </w:pPr>
      <w:hyperlink w:anchor="Xc12d35d6a2e52e12adb58f56af8b320d3fcc96a">
        <w:r>
          <w:drawing>
            <wp:inline>
              <wp:extent cx="152400" cy="152400"/>
              <wp:effectExtent b="0" l="0" r="0" t="0"/>
              <wp:docPr descr="" title="" id="1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Valuation Methods”</w:t>
        </w:r>
      </w:hyperlink>
    </w:p>
    <w:bookmarkEnd w:id="176"/>
    <w:p>
      <w:pPr>
        <w:pStyle w:val="BodyText"/>
      </w:pPr>
      <w:r>
        <w:rPr>
          <w:lang w:val="en"/>
        </w:rPr>
        <w:t xml:space="preserve">¶1</w:t>
      </w:r>
      <w:r>
        <w:rPr>
          <w:lang w:val="en"/>
        </w:rPr>
        <w:t xml:space="preserve"> </w:t>
      </w:r>
      <w:r>
        <w:rPr>
          <w:lang w:val="en"/>
        </w:rPr>
        <w:t xml:space="preserve">Monetary valuation applies the general framework from</w:t>
      </w:r>
      <w:r>
        <w:rPr>
          <w:lang w:val="en"/>
        </w:rPr>
        <w:t xml:space="preserve"> </w:t>
      </w:r>
      <w:hyperlink r:id="rId46">
        <w:r>
          <w:rPr>
            <w:rStyle w:val="Hyperlink"/>
            <w:bCs/>
            <w:b/>
            <w:lang w:val="en"/>
          </w:rPr>
          <w:t xml:space="preserve">TG-1.9 Valuation</w:t>
        </w:r>
      </w:hyperlink>
      <w:r>
        <w:rPr>
          <w:lang w:val="en"/>
        </w:rPr>
        <w:t xml:space="preserve"> </w:t>
      </w:r>
      <w:r>
        <w:rPr>
          <w:lang w:val="en"/>
        </w:rPr>
        <w:t xml:space="preserve">to mangrove- and wetland-specific contexts</w:t>
      </w:r>
      <w:hyperlink w:anchor="user-content-fn-68">
        <w:r>
          <w:rPr>
            <w:rStyle w:val="Hyperlink"/>
            <w:vertAlign w:val="superscript"/>
            <w:lang w:val="en"/>
          </w:rPr>
          <w:t xml:space="preserve">73</w:t>
        </w:r>
      </w:hyperlink>
      <w:r>
        <w:rPr>
          <w:lang w:val="en"/>
        </w:rPr>
        <w:t xml:space="preserve">.</w:t>
      </w:r>
    </w:p>
    <w:bookmarkStart w:id="179" w:name="carbon-pricing"/>
    <w:p>
      <w:pPr>
        <w:pStyle w:val="Heading4"/>
      </w:pPr>
      <w:r>
        <w:rPr>
          <w:lang w:val="en"/>
        </w:rPr>
        <w:t xml:space="preserve">Carbon pricing</w:t>
      </w:r>
    </w:p>
    <w:p>
      <w:pPr>
        <w:pStyle w:val="FirstParagraph"/>
      </w:pPr>
      <w:hyperlink w:anchor="carbon-pricing">
        <w:r>
          <w:drawing>
            <wp:inline>
              <wp:extent cx="152400" cy="152400"/>
              <wp:effectExtent b="0" l="0" r="0" t="0"/>
              <wp:docPr descr="" title="" id="1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“Carbon pricing”</w:t>
        </w:r>
      </w:hyperlink>
    </w:p>
    <w:bookmarkEnd w:id="179"/>
    <w:p>
      <w:pPr>
        <w:pStyle w:val="BodyText"/>
      </w:pPr>
      <w:r>
        <w:rPr>
          <w:lang w:val="en"/>
        </w:rPr>
        <w:t xml:space="preserve">¶1</w:t>
      </w:r>
      <w:r>
        <w:rPr>
          <w:lang w:val="en"/>
        </w:rPr>
        <w:t xml:space="preserve"> </w:t>
      </w:r>
      <w:r>
        <w:rPr>
          <w:lang w:val="en"/>
        </w:rPr>
        <w:t xml:space="preserve">For blue carbon services</w:t>
      </w:r>
      <w:hyperlink w:anchor="user-content-fn-69">
        <w:r>
          <w:rPr>
            <w:rStyle w:val="Hyperlink"/>
            <w:vertAlign w:val="superscript"/>
            <w:lang w:val="en"/>
          </w:rPr>
          <w:t xml:space="preserve">74</w:t>
        </w:r>
      </w:hyperlink>
      <w:r>
        <w:rPr>
          <w:lang w:val="en"/>
        </w:rPr>
        <w:t xml:space="preserve">:</w:t>
      </w:r>
    </w:p>
    <w:p>
      <w:pPr>
        <w:pStyle w:val="BodyText"/>
      </w:pPr>
      <w:r>
        <w:rPr>
          <w:lang w:val="en"/>
        </w:rPr>
        <w:t xml:space="preserve">¶2</w:t>
      </w:r>
      <w:r>
        <w:rPr>
          <w:lang w:val="en"/>
        </w:rPr>
        <w:t xml:space="preserve"> </w:t>
      </w:r>
      <w:r>
        <w:rPr>
          <w:bCs/>
          <w:b/>
          <w:lang w:val="en"/>
        </w:rPr>
        <w:t xml:space="preserve">Social cost of carbon (SCC):</w:t>
      </w:r>
      <w:r>
        <w:rPr>
          <w:lang w:val="en"/>
        </w:rPr>
        <w:t xml:space="preserve"> </w:t>
      </w:r>
      <w:r>
        <w:rPr>
          <w:lang w:val="en"/>
        </w:rPr>
        <w:t xml:space="preserve">Appropriate for the carbon retention component, applied as: (opening stock in tCO2e) x (SCC per tCO2e) x (rate of return). The SEEA Valuation gives a range of USD 14.9—80.5/t CO2 in 2020</w:t>
      </w:r>
      <w:hyperlink w:anchor="user-content-fn-70">
        <w:r>
          <w:rPr>
            <w:rStyle w:val="Hyperlink"/>
            <w:vertAlign w:val="superscript"/>
            <w:lang w:val="en"/>
          </w:rPr>
          <w:t xml:space="preserve">75</w:t>
        </w:r>
      </w:hyperlink>
      <w:r>
        <w:rPr>
          <w:lang w:val="en"/>
        </w:rPr>
        <w:t xml:space="preserve">, though subsequent analyses have revised that range substantially upward. Applying SCC to retention (standing stock) remains an area of active methodological debate, and the SEEA EA 2021 adopts the two-component model (Keith et al. 2019).</w:t>
      </w:r>
    </w:p>
    <w:p>
      <w:pPr>
        <w:pStyle w:val="BodyText"/>
      </w:pPr>
      <w:r>
        <w:rPr>
          <w:lang w:val="en"/>
        </w:rPr>
        <w:t xml:space="preserve">¶3</w:t>
      </w:r>
      <w:r>
        <w:rPr>
          <w:lang w:val="en"/>
        </w:rPr>
        <w:t xml:space="preserve"> </w:t>
      </w:r>
      <w:r>
        <w:rPr>
          <w:bCs/>
          <w:b/>
          <w:lang w:val="en"/>
        </w:rPr>
        <w:t xml:space="preserve">Compliance market prices:</w:t>
      </w:r>
      <w:r>
        <w:rPr>
          <w:lang w:val="en"/>
        </w:rPr>
        <w:t xml:space="preserve"> </w:t>
      </w:r>
      <w:r>
        <w:rPr>
          <w:lang w:val="en"/>
        </w:rPr>
        <w:t xml:space="preserve">Appropriate for the carbon sequestration component</w:t>
      </w:r>
      <w:hyperlink w:anchor="user-content-fn-71">
        <w:r>
          <w:rPr>
            <w:rStyle w:val="Hyperlink"/>
            <w:vertAlign w:val="superscript"/>
            <w:lang w:val="en"/>
          </w:rPr>
          <w:t xml:space="preserve">76</w:t>
        </w:r>
      </w:hyperlink>
      <w:r>
        <w:rPr>
          <w:lang w:val="en"/>
        </w:rPr>
        <w:t xml:space="preserve">. Specify price source, date, and any adjustments applied. VCM prices are not recommended for SEEA-EA-aligned monetary accounts: VCM prices historically underestimate exchange values</w:t>
      </w:r>
      <w:hyperlink w:anchor="user-content-fn-72">
        <w:r>
          <w:rPr>
            <w:rStyle w:val="Hyperlink"/>
            <w:vertAlign w:val="superscript"/>
            <w:lang w:val="en"/>
          </w:rPr>
          <w:t xml:space="preserve">77</w:t>
        </w:r>
      </w:hyperlink>
      <w:r>
        <w:rPr>
          <w:lang w:val="en"/>
        </w:rPr>
        <w:t xml:space="preserve">. Obtain current prices from the World Bank State and Trends of Carbon Pricing report or national carbon pricing instruments.</w:t>
      </w:r>
    </w:p>
    <w:bookmarkStart w:id="182" w:name="avoided-damage-valuation"/>
    <w:p>
      <w:pPr>
        <w:pStyle w:val="Heading4"/>
      </w:pPr>
      <w:r>
        <w:rPr>
          <w:lang w:val="en"/>
        </w:rPr>
        <w:t xml:space="preserve">Avoided damage valuation</w:t>
      </w:r>
    </w:p>
    <w:p>
      <w:pPr>
        <w:pStyle w:val="FirstParagraph"/>
      </w:pPr>
      <w:hyperlink w:anchor="avoided-damage-valuation">
        <w:r>
          <w:drawing>
            <wp:inline>
              <wp:extent cx="152400" cy="152400"/>
              <wp:effectExtent b="0" l="0" r="0" t="0"/>
              <wp:docPr descr="" title="" id="1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“Avoided damage valuation”</w:t>
        </w:r>
      </w:hyperlink>
    </w:p>
    <w:bookmarkEnd w:id="182"/>
    <w:p>
      <w:pPr>
        <w:pStyle w:val="BodyText"/>
      </w:pPr>
      <w:r>
        <w:rPr>
          <w:lang w:val="en"/>
        </w:rPr>
        <w:t xml:space="preserve">¶1</w:t>
      </w:r>
      <w:r>
        <w:rPr>
          <w:lang w:val="en"/>
        </w:rPr>
        <w:t xml:space="preserve"> </w:t>
      </w:r>
      <w:r>
        <w:rPr>
          <w:lang w:val="en"/>
        </w:rPr>
        <w:t xml:space="preserve">Coastal protection services are valued using avoided damage cost methods</w:t>
      </w:r>
      <w:hyperlink w:anchor="user-content-fn-73">
        <w:r>
          <w:rPr>
            <w:rStyle w:val="Hyperlink"/>
            <w:vertAlign w:val="superscript"/>
            <w:lang w:val="en"/>
          </w:rPr>
          <w:t xml:space="preserve">78</w:t>
        </w:r>
      </w:hyperlink>
      <w:r>
        <w:rPr>
          <w:lang w:val="en"/>
        </w:rPr>
        <w:t xml:space="preserve">. The expected damage function (EDF) approach requires: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Element</w:t>
            </w:r>
          </w:p>
        </w:tc>
        <w:tc>
          <w:tcPr/>
          <w:p>
            <w:pPr>
              <w:pStyle w:val="Compact"/>
              <w:jc w:val="left"/>
            </w:pPr>
            <w:r>
              <w:rPr>
                <w:lang w:val="en"/>
              </w:rPr>
              <w:t xml:space="preserve">Description</w:t>
            </w:r>
          </w:p>
        </w:tc>
      </w:tr>
      <w:tr>
        <w:tc>
          <w:tcPr/>
          <w:p>
            <w:pPr>
              <w:pStyle w:val="Compact"/>
              <w:jc w:val="left"/>
            </w:pPr>
            <w:r>
              <w:rPr>
                <w:bCs/>
                <w:b/>
                <w:lang w:val="en"/>
              </w:rPr>
              <w:t xml:space="preserve">Hazard modelling</w:t>
            </w:r>
          </w:p>
        </w:tc>
        <w:tc>
          <w:tcPr/>
          <w:p>
            <w:pPr>
              <w:pStyle w:val="Compact"/>
              <w:jc w:val="left"/>
            </w:pPr>
            <w:r>
              <w:rPr>
                <w:lang w:val="en"/>
              </w:rPr>
              <w:t xml:space="preserve">Probability distribution of storm events and surge heights/wave energy.</w:t>
            </w:r>
          </w:p>
        </w:tc>
      </w:tr>
      <w:tr>
        <w:tc>
          <w:tcPr/>
          <w:p>
            <w:pPr>
              <w:pStyle w:val="Compact"/>
              <w:jc w:val="left"/>
            </w:pPr>
            <w:r>
              <w:rPr>
                <w:bCs/>
                <w:b/>
                <w:lang w:val="en"/>
              </w:rPr>
              <w:t xml:space="preserve">Exposure assessment</w:t>
            </w:r>
          </w:p>
        </w:tc>
        <w:tc>
          <w:tcPr/>
          <w:p>
            <w:pPr>
              <w:pStyle w:val="Compact"/>
              <w:jc w:val="left"/>
            </w:pPr>
            <w:r>
              <w:rPr>
                <w:lang w:val="en"/>
              </w:rPr>
              <w:t xml:space="preserve">Identification and valuation of assets at risk.</w:t>
            </w:r>
          </w:p>
        </w:tc>
      </w:tr>
      <w:tr>
        <w:tc>
          <w:tcPr/>
          <w:p>
            <w:pPr>
              <w:pStyle w:val="Compact"/>
              <w:jc w:val="left"/>
            </w:pPr>
            <w:r>
              <w:rPr>
                <w:bCs/>
                <w:b/>
                <w:lang w:val="en"/>
              </w:rPr>
              <w:t xml:space="preserve">Vulnerability functions</w:t>
            </w:r>
          </w:p>
        </w:tc>
        <w:tc>
          <w:tcPr/>
          <w:p>
            <w:pPr>
              <w:pStyle w:val="Compact"/>
              <w:jc w:val="left"/>
            </w:pPr>
            <w:r>
              <w:rPr>
                <w:lang w:val="en"/>
              </w:rPr>
              <w:t xml:space="preserve">Relationship between hazard intensity and damage extent.</w:t>
            </w:r>
          </w:p>
        </w:tc>
      </w:tr>
      <w:tr>
        <w:tc>
          <w:tcPr/>
          <w:p>
            <w:pPr>
              <w:pStyle w:val="Compact"/>
              <w:jc w:val="left"/>
            </w:pPr>
            <w:r>
              <w:rPr>
                <w:bCs/>
                <w:b/>
                <w:lang w:val="en"/>
              </w:rPr>
              <w:t xml:space="preserve">Counterfactual analysis</w:t>
            </w:r>
          </w:p>
        </w:tc>
        <w:tc>
          <w:tcPr/>
          <w:p>
            <w:pPr>
              <w:pStyle w:val="Compact"/>
              <w:jc w:val="left"/>
            </w:pPr>
            <w:r>
              <w:rPr>
                <w:lang w:val="en"/>
              </w:rPr>
              <w:t xml:space="preserve">Comparison of damages with and without wetland protection.</w:t>
            </w:r>
          </w:p>
        </w:tc>
      </w:tr>
    </w:tbl>
    <w:p>
      <w:pPr>
        <w:pStyle w:val="BodyText"/>
      </w:pPr>
      <w:r>
        <w:rPr>
          <w:lang w:val="en"/>
        </w:rPr>
        <w:t xml:space="preserve">¶2</w:t>
      </w:r>
      <w:r>
        <w:rPr>
          <w:lang w:val="en"/>
        </w:rPr>
        <w:t xml:space="preserve"> </w:t>
      </w:r>
      <w:r>
        <w:rPr>
          <w:lang w:val="en"/>
        </w:rPr>
        <w:t xml:space="preserve">Menendez et al. (2020) estimated global mangrove flood protection benefits exceed USD 65 billion annually</w:t>
      </w:r>
      <w:hyperlink w:anchor="user-content-fn-74">
        <w:r>
          <w:rPr>
            <w:rStyle w:val="Hyperlink"/>
            <w:vertAlign w:val="superscript"/>
            <w:lang w:val="en"/>
          </w:rPr>
          <w:t xml:space="preserve">79</w:t>
        </w:r>
      </w:hyperlink>
      <w:r>
        <w:rPr>
          <w:lang w:val="en"/>
        </w:rPr>
        <w:t xml:space="preserve">,</w:t>
      </w:r>
      <w:r>
        <w:rPr>
          <w:lang w:val="en"/>
        </w:rPr>
        <w:t xml:space="preserve"> </w:t>
      </w:r>
      <w:hyperlink w:anchor="user-content-fn-75">
        <w:r>
          <w:rPr>
            <w:rStyle w:val="Hyperlink"/>
            <w:vertAlign w:val="superscript"/>
            <w:lang w:val="en"/>
          </w:rPr>
          <w:t xml:space="preserve">80</w:t>
        </w:r>
      </w:hyperlink>
      <w:r>
        <w:rPr>
          <w:lang w:val="en"/>
        </w:rPr>
        <w:t xml:space="preserve">.</w:t>
      </w:r>
    </w:p>
    <w:p>
      <w:pPr>
        <w:pStyle w:val="BodyText"/>
      </w:pPr>
      <w:r>
        <w:rPr>
          <w:lang w:val="en"/>
        </w:rPr>
        <w:t xml:space="preserve">¶3</w:t>
      </w:r>
      <w:r>
        <w:rPr>
          <w:lang w:val="en"/>
        </w:rPr>
        <w:t xml:space="preserve"> </w:t>
      </w:r>
      <w:r>
        <w:rPr>
          <w:bCs/>
          <w:b/>
          <w:lang w:val="en"/>
        </w:rPr>
        <w:t xml:space="preserve">Replacement cost methods</w:t>
      </w:r>
      <w:r>
        <w:rPr>
          <w:lang w:val="en"/>
        </w:rPr>
        <w:t xml:space="preserve"> </w:t>
      </w:r>
      <w:r>
        <w:rPr>
          <w:lang w:val="en"/>
        </w:rPr>
        <w:t xml:space="preserve">provide a Tier 2 alternative; for seawall unit cost benchmarks and annualisation procedure, see</w:t>
      </w:r>
      <w:r>
        <w:rPr>
          <w:lang w:val="en"/>
        </w:rPr>
        <w:t xml:space="preserve"> </w:t>
      </w:r>
      <w:hyperlink r:id="rId183">
        <w:r>
          <w:rPr>
            <w:rStyle w:val="Hyperlink"/>
            <w:bCs/>
            <w:b/>
            <w:lang w:val="en"/>
          </w:rPr>
          <w:t xml:space="preserve">TG-3.2 Flows from Environment to Economy</w:t>
        </w:r>
      </w:hyperlink>
      <w:r>
        <w:rPr>
          <w:lang w:val="en"/>
        </w:rPr>
        <w:t xml:space="preserve"> </w:t>
      </w:r>
      <w:r>
        <w:rPr>
          <w:lang w:val="en"/>
        </w:rPr>
        <w:t xml:space="preserve">Section 3.5</w:t>
      </w:r>
      <w:hyperlink w:anchor="user-content-fn-76">
        <w:r>
          <w:rPr>
            <w:rStyle w:val="Hyperlink"/>
            <w:vertAlign w:val="superscript"/>
            <w:lang w:val="en"/>
          </w:rPr>
          <w:t xml:space="preserve">81</w:t>
        </w:r>
      </w:hyperlink>
      <w:r>
        <w:rPr>
          <w:lang w:val="en"/>
        </w:rPr>
        <w:t xml:space="preserve">.</w:t>
      </w:r>
    </w:p>
    <w:p>
      <w:pPr>
        <w:pStyle w:val="BodyText"/>
      </w:pPr>
      <w:r>
        <w:rPr>
          <w:lang w:val="en"/>
        </w:rPr>
        <w:t xml:space="preserve">¶4</w:t>
      </w:r>
      <w:r>
        <w:rPr>
          <w:lang w:val="en"/>
        </w:rPr>
        <w:t xml:space="preserve"> </w:t>
      </w:r>
      <w:r>
        <w:rPr>
          <w:bCs/>
          <w:b/>
          <w:lang w:val="en"/>
        </w:rPr>
        <w:t xml:space="preserve">Benefit transfer:</w:t>
      </w:r>
      <w:r>
        <w:rPr>
          <w:lang w:val="en"/>
        </w:rPr>
        <w:t xml:space="preserve"> </w:t>
      </w:r>
      <w:r>
        <w:rPr>
          <w:lang w:val="en"/>
        </w:rPr>
        <w:t xml:space="preserve">Where primary EDF analysis is not feasible, draw on published global and regional valuations (Menendez et al. 2020; InVEST Coastal Vulnerability model), adjusting for coastline exposure, asset density, and PPP.</w:t>
      </w:r>
    </w:p>
    <w:bookmarkStart w:id="186" w:name="productivity-change-methods"/>
    <w:p>
      <w:pPr>
        <w:pStyle w:val="Heading4"/>
      </w:pPr>
      <w:r>
        <w:rPr>
          <w:lang w:val="en"/>
        </w:rPr>
        <w:t xml:space="preserve">Productivity change methods</w:t>
      </w:r>
    </w:p>
    <w:p>
      <w:pPr>
        <w:pStyle w:val="FirstParagraph"/>
      </w:pPr>
      <w:hyperlink w:anchor="productivity-change-methods">
        <w:r>
          <w:drawing>
            <wp:inline>
              <wp:extent cx="152400" cy="152400"/>
              <wp:effectExtent b="0" l="0" r="0" t="0"/>
              <wp:docPr descr="" title="" id="18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“Productivity change methods”</w:t>
        </w:r>
      </w:hyperlink>
    </w:p>
    <w:bookmarkEnd w:id="186"/>
    <w:p>
      <w:pPr>
        <w:pStyle w:val="BodyText"/>
      </w:pPr>
      <w:r>
        <w:rPr>
          <w:lang w:val="en"/>
        </w:rPr>
        <w:t xml:space="preserve">¶1</w:t>
      </w:r>
      <w:r>
        <w:rPr>
          <w:lang w:val="en"/>
        </w:rPr>
        <w:t xml:space="preserve"> </w:t>
      </w:r>
      <w:r>
        <w:rPr>
          <w:lang w:val="en"/>
        </w:rPr>
        <w:t xml:space="preserve">Nursery habitat services are valued using productivity change methods</w:t>
      </w:r>
      <w:hyperlink w:anchor="user-content-fn-77">
        <w:r>
          <w:rPr>
            <w:rStyle w:val="Hyperlink"/>
            <w:vertAlign w:val="superscript"/>
            <w:lang w:val="en"/>
          </w:rPr>
          <w:t xml:space="preserve">82</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Step</w:t>
            </w:r>
          </w:p>
        </w:tc>
        <w:tc>
          <w:tcPr/>
          <w:p>
            <w:pPr>
              <w:pStyle w:val="Compact"/>
              <w:jc w:val="left"/>
            </w:pPr>
            <w:r>
              <w:rPr>
                <w:lang w:val="en"/>
              </w:rPr>
              <w:t xml:space="preserve">Description</w:t>
            </w:r>
          </w:p>
        </w:tc>
      </w:tr>
      <w:tr>
        <w:tc>
          <w:tcPr/>
          <w:p>
            <w:pPr>
              <w:pStyle w:val="Compact"/>
              <w:jc w:val="left"/>
            </w:pPr>
            <w:r>
              <w:rPr>
                <w:bCs/>
                <w:b/>
                <w:lang w:val="en"/>
              </w:rPr>
              <w:t xml:space="preserve">Production function estimation</w:t>
            </w:r>
          </w:p>
        </w:tc>
        <w:tc>
          <w:tcPr/>
          <w:p>
            <w:pPr>
              <w:pStyle w:val="Compact"/>
              <w:jc w:val="left"/>
            </w:pPr>
            <w:r>
              <w:rPr>
                <w:lang w:val="en"/>
              </w:rPr>
              <w:t xml:space="preserve">Statistical relationship between wetland area/condition and fisheries catch.</w:t>
            </w:r>
          </w:p>
        </w:tc>
      </w:tr>
      <w:tr>
        <w:tc>
          <w:tcPr/>
          <w:p>
            <w:pPr>
              <w:pStyle w:val="Compact"/>
              <w:jc w:val="left"/>
            </w:pPr>
            <w:r>
              <w:rPr>
                <w:bCs/>
                <w:b/>
                <w:lang w:val="en"/>
              </w:rPr>
              <w:t xml:space="preserve">Marginal productivity calculation</w:t>
            </w:r>
          </w:p>
        </w:tc>
        <w:tc>
          <w:tcPr/>
          <w:p>
            <w:pPr>
              <w:pStyle w:val="Compact"/>
              <w:jc w:val="left"/>
            </w:pPr>
            <w:r>
              <w:rPr>
                <w:lang w:val="en"/>
              </w:rPr>
              <w:t xml:space="preserve">Additional catch attributable to marginal wetland area.</w:t>
            </w:r>
          </w:p>
        </w:tc>
      </w:tr>
      <w:tr>
        <w:tc>
          <w:tcPr/>
          <w:p>
            <w:pPr>
              <w:pStyle w:val="Compact"/>
              <w:jc w:val="left"/>
            </w:pPr>
            <w:r>
              <w:rPr>
                <w:bCs/>
                <w:b/>
                <w:lang w:val="en"/>
              </w:rPr>
              <w:t xml:space="preserve">Market value application</w:t>
            </w:r>
          </w:p>
        </w:tc>
        <w:tc>
          <w:tcPr/>
          <w:p>
            <w:pPr>
              <w:pStyle w:val="Compact"/>
              <w:jc w:val="left"/>
            </w:pPr>
            <w:r>
              <w:rPr>
                <w:lang w:val="en"/>
              </w:rPr>
              <w:t xml:space="preserve">Multiplication by appropriate fish prices.</w:t>
            </w:r>
          </w:p>
        </w:tc>
      </w:tr>
    </w:tbl>
    <w:p>
      <w:pPr>
        <w:pStyle w:val="BodyText"/>
      </w:pPr>
      <w:r>
        <w:rPr>
          <w:lang w:val="en"/>
        </w:rPr>
        <w:t xml:space="preserve">¶2</w:t>
      </w:r>
      <w:r>
        <w:rPr>
          <w:lang w:val="en"/>
        </w:rPr>
        <w:t xml:space="preserve"> </w:t>
      </w:r>
      <w:r>
        <w:rPr>
          <w:lang w:val="en"/>
        </w:rPr>
        <w:t xml:space="preserve">Anneboina &amp; Kumar (2017) estimated gross value at ~USD 1,900/ha/yr using a production frontier model for Indian mangroves</w:t>
      </w:r>
      <w:hyperlink w:anchor="user-content-fn-78">
        <w:r>
          <w:rPr>
            <w:rStyle w:val="Hyperlink"/>
            <w:vertAlign w:val="superscript"/>
            <w:lang w:val="en"/>
          </w:rPr>
          <w:t xml:space="preserve">83</w:t>
        </w:r>
      </w:hyperlink>
      <w:r>
        <w:rPr>
          <w:lang w:val="en"/>
        </w:rPr>
        <w:t xml:space="preserve">,</w:t>
      </w:r>
      <w:r>
        <w:rPr>
          <w:lang w:val="en"/>
        </w:rPr>
        <w:t xml:space="preserve"> </w:t>
      </w:r>
      <w:hyperlink w:anchor="user-content-fn-79">
        <w:r>
          <w:rPr>
            <w:rStyle w:val="Hyperlink"/>
            <w:vertAlign w:val="superscript"/>
            <w:lang w:val="en"/>
          </w:rPr>
          <w:t xml:space="preserve">84</w:t>
        </w:r>
      </w:hyperlink>
      <w:r>
        <w:rPr>
          <w:lang w:val="en"/>
        </w:rPr>
        <w:t xml:space="preserve">.</w:t>
      </w:r>
    </w:p>
    <w:bookmarkStart w:id="189" w:name="aggregation-and-double-counting"/>
    <w:p>
      <w:pPr>
        <w:pStyle w:val="Heading4"/>
      </w:pPr>
      <w:r>
        <w:rPr>
          <w:lang w:val="en"/>
        </w:rPr>
        <w:t xml:space="preserve">Aggregation and double counting</w:t>
      </w:r>
    </w:p>
    <w:p>
      <w:pPr>
        <w:pStyle w:val="FirstParagraph"/>
      </w:pPr>
      <w:hyperlink w:anchor="aggregation-and-double-counting">
        <w:r>
          <w:drawing>
            <wp:inline>
              <wp:extent cx="152400" cy="152400"/>
              <wp:effectExtent b="0" l="0" r="0" t="0"/>
              <wp:docPr descr="" title="" id="18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“Aggregation and double counting”</w:t>
        </w:r>
      </w:hyperlink>
    </w:p>
    <w:bookmarkEnd w:id="189"/>
    <w:p>
      <w:pPr>
        <w:pStyle w:val="BodyText"/>
      </w:pPr>
      <w:r>
        <w:rPr>
          <w:lang w:val="en"/>
        </w:rPr>
        <w:t xml:space="preserve">¶1</w:t>
      </w:r>
      <w:r>
        <w:rPr>
          <w:lang w:val="en"/>
        </w:rPr>
        <w:t xml:space="preserve"> </w:t>
      </w:r>
      <w:r>
        <w:rPr>
          <w:lang w:val="en"/>
        </w:rPr>
        <w:t xml:space="preserve">Carbon and coastal protection services are largely independent and additive. Nursery services are intermediate inputs and must not be summed with fisheries production values (see Section 3.5 allocation rule). The SEEA EA supply-use framework ensures each service flow is recorded once</w:t>
      </w:r>
      <w:hyperlink w:anchor="user-content-fn-80">
        <w:r>
          <w:rPr>
            <w:rStyle w:val="Hyperlink"/>
            <w:vertAlign w:val="superscript"/>
            <w:lang w:val="en"/>
          </w:rPr>
          <w:t xml:space="preserve">85</w:t>
        </w:r>
      </w:hyperlink>
      <w:r>
        <w:rPr>
          <w:lang w:val="en"/>
        </w:rPr>
        <w:t xml:space="preserve">,</w:t>
      </w:r>
      <w:r>
        <w:rPr>
          <w:lang w:val="en"/>
        </w:rPr>
        <w:t xml:space="preserve"> </w:t>
      </w:r>
      <w:hyperlink w:anchor="user-content-fn-81">
        <w:r>
          <w:rPr>
            <w:rStyle w:val="Hyperlink"/>
            <w:vertAlign w:val="superscript"/>
            <w:lang w:val="en"/>
          </w:rPr>
          <w:t xml:space="preserve">86</w:t>
        </w:r>
      </w:hyperlink>
      <w:r>
        <w:rPr>
          <w:lang w:val="en"/>
        </w:rPr>
        <w:t xml:space="preserve">.</w:t>
      </w:r>
    </w:p>
    <w:bookmarkStart w:id="192" w:name="valuation-summary-table"/>
    <w:p>
      <w:pPr>
        <w:pStyle w:val="Heading4"/>
      </w:pPr>
      <w:r>
        <w:rPr>
          <w:lang w:val="en"/>
        </w:rPr>
        <w:t xml:space="preserve">Valuation summary table</w:t>
      </w:r>
    </w:p>
    <w:p>
      <w:pPr>
        <w:pStyle w:val="FirstParagraph"/>
      </w:pPr>
      <w:hyperlink w:anchor="valuation-summary-table">
        <w:r>
          <w:drawing>
            <wp:inline>
              <wp:extent cx="152400" cy="152400"/>
              <wp:effectExtent b="0" l="0" r="0" t="0"/>
              <wp:docPr descr="" title="" id="19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“Valuation summary table”</w:t>
        </w:r>
      </w:hyperlink>
    </w:p>
    <w:bookmarkEnd w:id="192"/>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Service</w:t>
            </w:r>
          </w:p>
        </w:tc>
        <w:tc>
          <w:tcPr/>
          <w:p>
            <w:pPr>
              <w:pStyle w:val="Compact"/>
              <w:jc w:val="left"/>
            </w:pPr>
            <w:r>
              <w:rPr>
                <w:lang w:val="en"/>
              </w:rPr>
              <w:t xml:space="preserve">Valuation Method</w:t>
            </w:r>
          </w:p>
        </w:tc>
        <w:tc>
          <w:tcPr/>
          <w:p>
            <w:pPr>
              <w:pStyle w:val="Compact"/>
              <w:jc w:val="left"/>
            </w:pPr>
            <w:r>
              <w:rPr>
                <w:lang w:val="en"/>
              </w:rPr>
              <w:t xml:space="preserve">Tier</w:t>
            </w:r>
          </w:p>
        </w:tc>
        <w:tc>
          <w:tcPr/>
          <w:p>
            <w:pPr>
              <w:pStyle w:val="Compact"/>
              <w:jc w:val="left"/>
            </w:pPr>
            <w:r>
              <w:rPr>
                <w:lang w:val="en"/>
              </w:rPr>
              <w:t xml:space="preserve">Key Parameters</w:t>
            </w:r>
          </w:p>
        </w:tc>
      </w:tr>
      <w:tr>
        <w:tc>
          <w:tcPr/>
          <w:p>
            <w:pPr>
              <w:pStyle w:val="Compact"/>
              <w:jc w:val="left"/>
            </w:pPr>
            <w:r>
              <w:rPr>
                <w:lang w:val="en"/>
              </w:rPr>
              <w:t xml:space="preserve">Carbon retention</w:t>
            </w:r>
          </w:p>
        </w:tc>
        <w:tc>
          <w:tcPr/>
          <w:p>
            <w:pPr>
              <w:pStyle w:val="Compact"/>
              <w:jc w:val="left"/>
            </w:pPr>
            <w:r>
              <w:rPr>
                <w:lang w:val="en"/>
              </w:rPr>
              <w:t xml:space="preserve">Social cost of carbon</w:t>
            </w:r>
          </w:p>
        </w:tc>
        <w:tc>
          <w:tcPr/>
          <w:p>
            <w:pPr>
              <w:pStyle w:val="Compact"/>
              <w:jc w:val="left"/>
            </w:pPr>
            <w:r>
              <w:rPr>
                <w:lang w:val="en"/>
              </w:rPr>
              <w:t xml:space="preserve">1-3</w:t>
            </w:r>
          </w:p>
        </w:tc>
        <w:tc>
          <w:tcPr/>
          <w:p>
            <w:pPr>
              <w:pStyle w:val="Compact"/>
              <w:jc w:val="left"/>
            </w:pPr>
            <w:r>
              <w:rPr>
                <w:lang w:val="en"/>
              </w:rPr>
              <w:t xml:space="preserve">Carbon price, discount rate</w:t>
            </w:r>
          </w:p>
        </w:tc>
      </w:tr>
      <w:tr>
        <w:tc>
          <w:tcPr/>
          <w:p>
            <w:pPr>
              <w:pStyle w:val="Compact"/>
              <w:jc w:val="left"/>
            </w:pPr>
            <w:r>
              <w:rPr>
                <w:lang w:val="en"/>
              </w:rPr>
              <w:t xml:space="preserve">Carbon sequestration</w:t>
            </w:r>
          </w:p>
        </w:tc>
        <w:tc>
          <w:tcPr/>
          <w:p>
            <w:pPr>
              <w:pStyle w:val="Compact"/>
              <w:jc w:val="left"/>
            </w:pPr>
            <w:r>
              <w:rPr>
                <w:lang w:val="en"/>
              </w:rPr>
              <w:t xml:space="preserve">Compliance market price</w:t>
            </w:r>
          </w:p>
        </w:tc>
        <w:tc>
          <w:tcPr/>
          <w:p>
            <w:pPr>
              <w:pStyle w:val="Compact"/>
              <w:jc w:val="left"/>
            </w:pPr>
            <w:r>
              <w:rPr>
                <w:lang w:val="en"/>
              </w:rPr>
              <w:t xml:space="preserve">2-3</w:t>
            </w:r>
          </w:p>
        </w:tc>
        <w:tc>
          <w:tcPr/>
          <w:p>
            <w:pPr>
              <w:pStyle w:val="Compact"/>
              <w:jc w:val="left"/>
            </w:pPr>
            <w:r>
              <w:rPr>
                <w:lang w:val="en"/>
              </w:rPr>
              <w:t xml:space="preserve">Compliance market prices (VCM prices not SEEA-aligned)</w:t>
            </w:r>
          </w:p>
        </w:tc>
      </w:tr>
      <w:tr>
        <w:tc>
          <w:tcPr/>
          <w:p>
            <w:pPr>
              <w:pStyle w:val="Compact"/>
              <w:jc w:val="left"/>
            </w:pPr>
            <w:r>
              <w:rPr>
                <w:lang w:val="en"/>
              </w:rPr>
              <w:t xml:space="preserve">Coastal protection</w:t>
            </w:r>
          </w:p>
        </w:tc>
        <w:tc>
          <w:tcPr/>
          <w:p>
            <w:pPr>
              <w:pStyle w:val="Compact"/>
              <w:jc w:val="left"/>
            </w:pPr>
            <w:r>
              <w:rPr>
                <w:lang w:val="en"/>
              </w:rPr>
              <w:t xml:space="preserve">Avoided damage cost</w:t>
            </w:r>
          </w:p>
        </w:tc>
        <w:tc>
          <w:tcPr/>
          <w:p>
            <w:pPr>
              <w:pStyle w:val="Compact"/>
              <w:jc w:val="left"/>
            </w:pPr>
            <w:r>
              <w:rPr>
                <w:lang w:val="en"/>
              </w:rPr>
              <w:t xml:space="preserve">2-3</w:t>
            </w:r>
          </w:p>
        </w:tc>
        <w:tc>
          <w:tcPr/>
          <w:p>
            <w:pPr>
              <w:pStyle w:val="Compact"/>
              <w:jc w:val="left"/>
            </w:pPr>
            <w:r>
              <w:rPr>
                <w:lang w:val="en"/>
              </w:rPr>
              <w:t xml:space="preserve">Storm probabilities, asset values</w:t>
            </w:r>
          </w:p>
        </w:tc>
      </w:tr>
      <w:tr>
        <w:tc>
          <w:tcPr/>
          <w:p>
            <w:pPr>
              <w:pStyle w:val="Compact"/>
              <w:jc w:val="left"/>
            </w:pPr>
            <w:r>
              <w:rPr>
                <w:lang w:val="en"/>
              </w:rPr>
              <w:t xml:space="preserve">Coastal protection</w:t>
            </w:r>
          </w:p>
        </w:tc>
        <w:tc>
          <w:tcPr/>
          <w:p>
            <w:pPr>
              <w:pStyle w:val="Compact"/>
              <w:jc w:val="left"/>
            </w:pPr>
            <w:r>
              <w:rPr>
                <w:lang w:val="en"/>
              </w:rPr>
              <w:t xml:space="preserve">Replacement cost</w:t>
            </w:r>
          </w:p>
        </w:tc>
        <w:tc>
          <w:tcPr/>
          <w:p>
            <w:pPr>
              <w:pStyle w:val="Compact"/>
              <w:jc w:val="left"/>
            </w:pPr>
            <w:r>
              <w:rPr>
                <w:lang w:val="en"/>
              </w:rPr>
              <w:t xml:space="preserve">2</w:t>
            </w:r>
          </w:p>
        </w:tc>
        <w:tc>
          <w:tcPr/>
          <w:p>
            <w:pPr>
              <w:pStyle w:val="Compact"/>
              <w:jc w:val="left"/>
            </w:pPr>
            <w:r>
              <w:rPr>
                <w:lang w:val="en"/>
              </w:rPr>
              <w:t xml:space="preserve">Engineering cost estimates</w:t>
            </w:r>
          </w:p>
        </w:tc>
      </w:tr>
      <w:tr>
        <w:tc>
          <w:tcPr/>
          <w:p>
            <w:pPr>
              <w:pStyle w:val="Compact"/>
              <w:jc w:val="left"/>
            </w:pPr>
            <w:r>
              <w:rPr>
                <w:lang w:val="en"/>
              </w:rPr>
              <w:t xml:space="preserve">Coastal protection</w:t>
            </w:r>
          </w:p>
        </w:tc>
        <w:tc>
          <w:tcPr/>
          <w:p>
            <w:pPr>
              <w:pStyle w:val="Compact"/>
              <w:jc w:val="left"/>
            </w:pPr>
            <w:r>
              <w:rPr>
                <w:lang w:val="en"/>
              </w:rPr>
              <w:t xml:space="preserve">Benefit transfer</w:t>
            </w:r>
          </w:p>
        </w:tc>
        <w:tc>
          <w:tcPr/>
          <w:p>
            <w:pPr>
              <w:pStyle w:val="Compact"/>
              <w:jc w:val="left"/>
            </w:pPr>
            <w:r>
              <w:rPr>
                <w:lang w:val="en"/>
              </w:rPr>
              <w:t xml:space="preserve">1</w:t>
            </w:r>
          </w:p>
        </w:tc>
        <w:tc>
          <w:tcPr/>
          <w:p>
            <w:pPr>
              <w:pStyle w:val="Compact"/>
              <w:jc w:val="left"/>
            </w:pPr>
            <w:r>
              <w:rPr>
                <w:lang w:val="en"/>
              </w:rPr>
              <w:t xml:space="preserve">Published global estimates, PPP adjustment</w:t>
            </w:r>
          </w:p>
        </w:tc>
      </w:tr>
      <w:tr>
        <w:tc>
          <w:tcPr/>
          <w:p>
            <w:pPr>
              <w:pStyle w:val="Compact"/>
              <w:jc w:val="left"/>
            </w:pPr>
            <w:r>
              <w:rPr>
                <w:lang w:val="en"/>
              </w:rPr>
              <w:t xml:space="preserve">Nursery habitat</w:t>
            </w:r>
          </w:p>
        </w:tc>
        <w:tc>
          <w:tcPr/>
          <w:p>
            <w:pPr>
              <w:pStyle w:val="Compact"/>
              <w:jc w:val="left"/>
            </w:pPr>
            <w:r>
              <w:rPr>
                <w:lang w:val="en"/>
              </w:rPr>
              <w:t xml:space="preserve">Productivity change</w:t>
            </w:r>
          </w:p>
        </w:tc>
        <w:tc>
          <w:tcPr/>
          <w:p>
            <w:pPr>
              <w:pStyle w:val="Compact"/>
              <w:jc w:val="left"/>
            </w:pPr>
            <w:r>
              <w:rPr>
                <w:lang w:val="en"/>
              </w:rPr>
              <w:t xml:space="preserve">2-3</w:t>
            </w:r>
          </w:p>
        </w:tc>
        <w:tc>
          <w:tcPr/>
          <w:p>
            <w:pPr>
              <w:pStyle w:val="Compact"/>
              <w:jc w:val="left"/>
            </w:pPr>
            <w:r>
              <w:rPr>
                <w:lang w:val="en"/>
              </w:rPr>
              <w:t xml:space="preserve">Production function, fish prices</w:t>
            </w:r>
          </w:p>
        </w:tc>
      </w:tr>
      <w:tr>
        <w:tc>
          <w:tcPr/>
          <w:p>
            <w:pPr>
              <w:pStyle w:val="Compact"/>
              <w:jc w:val="left"/>
            </w:pPr>
            <w:r>
              <w:rPr>
                <w:lang w:val="en"/>
              </w:rPr>
              <w:t xml:space="preserve">Nursery habitat</w:t>
            </w:r>
          </w:p>
        </w:tc>
        <w:tc>
          <w:tcPr/>
          <w:p>
            <w:pPr>
              <w:pStyle w:val="Compact"/>
              <w:jc w:val="left"/>
            </w:pPr>
            <w:r>
              <w:rPr>
                <w:lang w:val="en"/>
              </w:rPr>
              <w:t xml:space="preserve">Habitat extent proxy</w:t>
            </w:r>
          </w:p>
        </w:tc>
        <w:tc>
          <w:tcPr/>
          <w:p>
            <w:pPr>
              <w:pStyle w:val="Compact"/>
              <w:jc w:val="left"/>
            </w:pPr>
            <w:r>
              <w:rPr>
                <w:lang w:val="en"/>
              </w:rPr>
              <w:t xml:space="preserve">1</w:t>
            </w:r>
          </w:p>
        </w:tc>
        <w:tc>
          <w:tcPr/>
          <w:p>
            <w:pPr>
              <w:pStyle w:val="Compact"/>
              <w:jc w:val="left"/>
            </w:pPr>
            <w:r>
              <w:rPr>
                <w:lang w:val="en"/>
              </w:rPr>
              <w:t xml:space="preserve">Area of suitable habitat, regional unit values</w:t>
            </w:r>
          </w:p>
        </w:tc>
      </w:tr>
    </w:tbl>
    <w:bookmarkStart w:id="195" w:name="Xa423ff8feff6362a5c965699a29946a67a36c23"/>
    <w:p>
      <w:pPr>
        <w:pStyle w:val="Heading3"/>
      </w:pPr>
      <w:r>
        <w:rPr>
          <w:lang w:val="en"/>
        </w:rPr>
        <w:t xml:space="preserve">3.7</w:t>
      </w:r>
      <w:r>
        <w:rPr>
          <w:lang w:val="en"/>
        </w:rPr>
        <w:t xml:space="preserve"> </w:t>
      </w:r>
      <w:r>
        <w:rPr>
          <w:lang w:val="en"/>
        </w:rPr>
        <w:t xml:space="preserve">Compilation Procedure</w:t>
      </w:r>
    </w:p>
    <w:p>
      <w:pPr>
        <w:pStyle w:val="FirstParagraph"/>
      </w:pPr>
      <w:hyperlink w:anchor="Xa423ff8feff6362a5c965699a29946a67a36c23">
        <w:r>
          <w:drawing>
            <wp:inline>
              <wp:extent cx="152400" cy="152400"/>
              <wp:effectExtent b="0" l="0" r="0" t="0"/>
              <wp:docPr descr="" title="" id="1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Compilation Procedure”</w:t>
        </w:r>
      </w:hyperlink>
    </w:p>
    <w:bookmarkEnd w:id="195"/>
    <w:p>
      <w:pPr>
        <w:pStyle w:val="BodyText"/>
      </w:pPr>
      <w:r>
        <w:rPr>
          <w:lang w:val="en"/>
        </w:rPr>
        <w:t xml:space="preserve">¶1</w:t>
      </w:r>
      <w:r>
        <w:rPr>
          <w:lang w:val="en"/>
        </w:rPr>
        <w:t xml:space="preserve"> </w:t>
      </w:r>
      <w:r>
        <w:rPr>
          <w:bCs/>
          <w:b/>
          <w:lang w:val="en"/>
        </w:rPr>
        <w:t xml:space="preserve">Step 1: Data Collection</w:t>
      </w:r>
    </w:p>
    <w:p>
      <w:pPr>
        <w:pStyle w:val="BodyText"/>
      </w:pPr>
      <w:r>
        <w:rPr>
          <w:lang w:val="en"/>
        </w:rPr>
        <w:t xml:space="preserve">¶2</w:t>
      </w:r>
      <w:r>
        <w:rPr>
          <w:lang w:val="en"/>
        </w:rPr>
        <w:t xml:space="preserve"> </w:t>
      </w:r>
      <w:r>
        <w:rPr>
          <w:lang w:val="en"/>
        </w:rPr>
        <w:t xml:space="preserve">Compile: (1) spatial data (Landsat, Sentinel-2, SAR, national vegetation maps, protected area boundaries); (2) extent data (remote sensing, national wetland inventories, Global Mangrove Watch); (3) condition data (field surveys, remote sensing variables); (4) carbon data (biomass measurements, sediment cores, allometric equations, literature values); (5) service data (wave attenuation studies, storm assessments, fisheries statistics, juvenile fish surveys); (6) valuation data (carbon prices, coastal property values, fish prices, engineering cost estimates). Coordinate across environmental ministries, statistical offices, meteorological agencies, and fisheries authorities.</w:t>
      </w:r>
    </w:p>
    <w:p>
      <w:pPr>
        <w:pStyle w:val="BodyText"/>
      </w:pPr>
      <w:r>
        <w:rPr>
          <w:lang w:val="en"/>
        </w:rPr>
        <w:t xml:space="preserve">¶3</w:t>
      </w:r>
      <w:r>
        <w:rPr>
          <w:lang w:val="en"/>
        </w:rPr>
        <w:t xml:space="preserve"> </w:t>
      </w:r>
      <w:r>
        <w:rPr>
          <w:bCs/>
          <w:b/>
          <w:lang w:val="en"/>
        </w:rPr>
        <w:t xml:space="preserve">Step 2: Classification and Mapping</w:t>
      </w:r>
    </w:p>
    <w:p>
      <w:pPr>
        <w:pStyle w:val="BodyText"/>
      </w:pPr>
      <w:r>
        <w:rPr>
          <w:lang w:val="en"/>
        </w:rPr>
        <w:t xml:space="preserve">¶4</w:t>
      </w:r>
      <w:r>
        <w:rPr>
          <w:lang w:val="en"/>
        </w:rPr>
        <w:t xml:space="preserve"> </w:t>
      </w:r>
      <w:r>
        <w:rPr>
          <w:lang w:val="en"/>
        </w:rPr>
        <w:t xml:space="preserve">Map national classifications to IUCN GET functional groups (MFT1.1, MFT1.2, MFT1.3). Define EAA boundaries. Classify ecosystems by remote sensing. Validate using ground-truth surveys.</w:t>
      </w:r>
    </w:p>
    <w:p>
      <w:pPr>
        <w:pStyle w:val="BodyText"/>
      </w:pPr>
      <w:r>
        <w:rPr>
          <w:lang w:val="en"/>
        </w:rPr>
        <w:t xml:space="preserve">¶5</w:t>
      </w:r>
      <w:r>
        <w:rPr>
          <w:lang w:val="en"/>
        </w:rPr>
        <w:t xml:space="preserve"> </w:t>
      </w:r>
      <w:r>
        <w:rPr>
          <w:bCs/>
          <w:b/>
          <w:lang w:val="en"/>
        </w:rPr>
        <w:t xml:space="preserve">Step 3: Extent Account Compilation</w:t>
      </w:r>
    </w:p>
    <w:p>
      <w:pPr>
        <w:pStyle w:val="BodyText"/>
      </w:pPr>
      <w:r>
        <w:rPr>
          <w:lang w:val="en"/>
        </w:rPr>
        <w:t xml:space="preserve">¶6</w:t>
      </w:r>
      <w:r>
        <w:rPr>
          <w:lang w:val="en"/>
        </w:rPr>
        <w:t xml:space="preserve"> </w:t>
      </w:r>
      <w:r>
        <w:rPr>
          <w:lang w:val="en"/>
        </w:rPr>
        <w:t xml:space="preserve">Generate baseline extent map; detect changes using multi-date imagery; classify as managed/unmanaged expansions or reductions; populate extent account. Validate: Closing extent = Opening extent + Additions — Reductions.</w:t>
      </w:r>
    </w:p>
    <w:p>
      <w:pPr>
        <w:pStyle w:val="BodyText"/>
      </w:pPr>
      <w:r>
        <w:rPr>
          <w:lang w:val="en"/>
        </w:rPr>
        <w:t xml:space="preserve">¶7</w:t>
      </w:r>
      <w:r>
        <w:rPr>
          <w:lang w:val="en"/>
        </w:rPr>
        <w:t xml:space="preserve"> </w:t>
      </w:r>
      <w:r>
        <w:rPr>
          <w:bCs/>
          <w:b/>
          <w:lang w:val="en"/>
        </w:rPr>
        <w:t xml:space="preserve">Step 4: Condition Assessment</w:t>
      </w:r>
    </w:p>
    <w:p>
      <w:pPr>
        <w:pStyle w:val="BodyText"/>
      </w:pPr>
      <w:r>
        <w:rPr>
          <w:lang w:val="en"/>
        </w:rPr>
        <w:t xml:space="preserve">¶8</w:t>
      </w:r>
      <w:r>
        <w:rPr>
          <w:lang w:val="en"/>
        </w:rPr>
        <w:t xml:space="preserve"> </w:t>
      </w:r>
      <w:r>
        <w:rPr>
          <w:lang w:val="en"/>
        </w:rPr>
        <w:t xml:space="preserve">Confirm minimum tier (IPCC Wetlands Supplement Tier Framework, Section 3.3) and record in account metadata. Select condition variables from all six ECT classes; measure using field surveys and remote sensing; establish reference conditions; normalise into indicators; compile condition account.</w:t>
      </w:r>
    </w:p>
    <w:p>
      <w:pPr>
        <w:pStyle w:val="BodyText"/>
      </w:pPr>
      <w:r>
        <w:rPr>
          <w:lang w:val="en"/>
        </w:rPr>
        <w:t xml:space="preserve">¶9</w:t>
      </w:r>
      <w:r>
        <w:rPr>
          <w:lang w:val="en"/>
        </w:rPr>
        <w:t xml:space="preserve"> </w:t>
      </w:r>
      <w:r>
        <w:rPr>
          <w:bCs/>
          <w:b/>
          <w:lang w:val="en"/>
        </w:rPr>
        <w:t xml:space="preserve">Step 5: Ecosystem Service Quantification</w:t>
      </w:r>
    </w:p>
    <w:p>
      <w:pPr>
        <w:pStyle w:val="BodyText"/>
      </w:pPr>
      <w:r>
        <w:rPr>
          <w:lang w:val="en"/>
        </w:rPr>
        <w:t xml:space="preserve">¶10</w:t>
      </w:r>
      <w:r>
        <w:rPr>
          <w:lang w:val="en"/>
        </w:rPr>
        <w:t xml:space="preserve"> </w:t>
      </w:r>
      <w:r>
        <w:rPr>
          <w:iCs/>
          <w:i/>
          <w:lang w:val="en"/>
        </w:rPr>
        <w:t xml:space="preserve">Blue carbon:</w:t>
      </w:r>
      <w:r>
        <w:rPr>
          <w:lang w:val="en"/>
        </w:rPr>
        <w:t xml:space="preserve"> </w:t>
      </w:r>
      <w:r>
        <w:rPr>
          <w:lang w:val="en"/>
        </w:rPr>
        <w:t xml:space="preserve">Measure carbon stocks by pool; enter NECB into services flow account; document disturbance events and direct emission pulses to SEEA-CF accounts. Compile carbon condition account (stocks) and carbon services flow account (flows) as two separate tables.</w:t>
      </w:r>
    </w:p>
    <w:p>
      <w:pPr>
        <w:pStyle w:val="BodyText"/>
      </w:pPr>
      <w:r>
        <w:rPr>
          <w:lang w:val="en"/>
        </w:rPr>
        <w:t xml:space="preserve">¶11</w:t>
      </w:r>
      <w:r>
        <w:rPr>
          <w:lang w:val="en"/>
        </w:rPr>
        <w:t xml:space="preserve"> </w:t>
      </w:r>
      <w:r>
        <w:rPr>
          <w:iCs/>
          <w:i/>
          <w:lang w:val="en"/>
        </w:rPr>
        <w:t xml:space="preserve">Coastal protection:</w:t>
      </w:r>
      <w:r>
        <w:rPr>
          <w:lang w:val="en"/>
        </w:rPr>
        <w:t xml:space="preserve"> </w:t>
      </w:r>
      <w:r>
        <w:rPr>
          <w:lang w:val="en"/>
        </w:rPr>
        <w:t xml:space="preserve">Map mangrove/wetland fringe and forest width; identify protected coastline and beneficiary populations; estimate wave attenuation; quantify storm surge reduction.</w:t>
      </w:r>
    </w:p>
    <w:p>
      <w:pPr>
        <w:pStyle w:val="BodyText"/>
      </w:pPr>
      <w:r>
        <w:rPr>
          <w:lang w:val="en"/>
        </w:rPr>
        <w:t xml:space="preserve">¶12</w:t>
      </w:r>
      <w:r>
        <w:rPr>
          <w:lang w:val="en"/>
        </w:rPr>
        <w:t xml:space="preserve"> </w:t>
      </w:r>
      <w:r>
        <w:rPr>
          <w:iCs/>
          <w:i/>
          <w:lang w:val="en"/>
        </w:rPr>
        <w:t xml:space="preserve">Nursery habitat:</w:t>
      </w:r>
      <w:r>
        <w:rPr>
          <w:lang w:val="en"/>
        </w:rPr>
        <w:t xml:space="preserve"> </w:t>
      </w:r>
      <w:r>
        <w:rPr>
          <w:lang w:val="en"/>
        </w:rPr>
        <w:t xml:space="preserve">Delineate nursery habitat; measure juvenile fish density and species composition; estimate recruitment contribution; link extent/condition to fisheries production using production functions.</w:t>
      </w:r>
    </w:p>
    <w:p>
      <w:pPr>
        <w:pStyle w:val="BodyText"/>
      </w:pPr>
      <w:r>
        <w:rPr>
          <w:lang w:val="en"/>
        </w:rPr>
        <w:t xml:space="preserve">¶13</w:t>
      </w:r>
      <w:r>
        <w:rPr>
          <w:lang w:val="en"/>
        </w:rPr>
        <w:t xml:space="preserve"> </w:t>
      </w:r>
      <w:r>
        <w:rPr>
          <w:bCs/>
          <w:b/>
          <w:lang w:val="en"/>
        </w:rPr>
        <w:t xml:space="preserve">Step 6: Monetary Valuation</w:t>
      </w:r>
    </w:p>
    <w:p>
      <w:pPr>
        <w:pStyle w:val="BodyText"/>
      </w:pPr>
      <w:r>
        <w:rPr>
          <w:lang w:val="en"/>
        </w:rPr>
        <w:t xml:space="preserve">¶14</w:t>
      </w:r>
      <w:r>
        <w:rPr>
          <w:lang w:val="en"/>
        </w:rPr>
        <w:t xml:space="preserve"> </w:t>
      </w:r>
      <w:r>
        <w:rPr>
          <w:lang w:val="en"/>
        </w:rPr>
        <w:t xml:space="preserve">Apply carbon pricing (SCC for retention, compliance market price for sequestration; VCM prices are not SEEA-aligned). Calculate avoided damages or replacement costs for coastal protection. Estimate productivity contributions for nursery habitat. Document assumptions, price sources, and uncertainty. For finance instrument applications, refer to</w:t>
      </w:r>
      <w:r>
        <w:rPr>
          <w:lang w:val="en"/>
        </w:rPr>
        <w:t xml:space="preserve"> </w:t>
      </w:r>
      <w:hyperlink r:id="rId34">
        <w:r>
          <w:rPr>
            <w:rStyle w:val="Hyperlink"/>
            <w:bCs/>
            <w:b/>
            <w:lang w:val="en"/>
          </w:rPr>
          <w:t xml:space="preserve">TG-1.8 OA and Project-Level Finance</w:t>
        </w:r>
      </w:hyperlink>
      <w:hyperlink w:anchor="user-content-fn-82">
        <w:r>
          <w:rPr>
            <w:rStyle w:val="Hyperlink"/>
            <w:vertAlign w:val="superscript"/>
            <w:lang w:val="en"/>
          </w:rPr>
          <w:t xml:space="preserve">87</w:t>
        </w:r>
      </w:hyperlink>
      <w:r>
        <w:rPr>
          <w:lang w:val="en"/>
        </w:rPr>
        <w:t xml:space="preserve">.</w:t>
      </w:r>
    </w:p>
    <w:p>
      <w:pPr>
        <w:pStyle w:val="BodyText"/>
      </w:pPr>
      <w:r>
        <w:rPr>
          <w:lang w:val="en"/>
        </w:rPr>
        <w:t xml:space="preserve">¶15</w:t>
      </w:r>
      <w:r>
        <w:rPr>
          <w:lang w:val="en"/>
        </w:rPr>
        <w:t xml:space="preserve"> </w:t>
      </w:r>
      <w:r>
        <w:rPr>
          <w:bCs/>
          <w:b/>
          <w:lang w:val="en"/>
        </w:rPr>
        <w:t xml:space="preserve">Step 7: Account Integration and Balancing</w:t>
      </w:r>
    </w:p>
    <w:p>
      <w:pPr>
        <w:pStyle w:val="BodyText"/>
      </w:pPr>
      <w:r>
        <w:rPr>
          <w:lang w:val="en"/>
        </w:rPr>
        <w:t xml:space="preserve">¶16</w:t>
      </w:r>
      <w:r>
        <w:rPr>
          <w:lang w:val="en"/>
        </w:rPr>
        <w:t xml:space="preserve"> </w:t>
      </w:r>
      <w:r>
        <w:rPr>
          <w:lang w:val="en"/>
        </w:rPr>
        <w:t xml:space="preserve">Reconcile accounts for mutual consistency. Check stock-flow balancing identities. Link to national ocean accounts, climate accounts, and fisheries accounts. Prepare metadata. Compile time series.</w:t>
      </w:r>
    </w:p>
    <w:p>
      <w:pPr>
        <w:pStyle w:val="BlockText"/>
      </w:pPr>
      <w:r>
        <w:rPr>
          <w:bCs/>
          <w:b/>
          <w:lang w:val="en"/>
        </w:rPr>
        <w:t xml:space="preserve">Note on additionality, leakage, and baseline analyses</w:t>
      </w:r>
    </w:p>
    <w:p>
      <w:pPr>
        <w:pStyle w:val="BlockText"/>
      </w:pPr>
      <w:r>
        <w:rPr>
          <w:lang w:val="en"/>
        </w:rPr>
        <w:t xml:space="preserve">Where account outputs are intended to support carbon market instruments or results-based payments, additionality assessment, counterfactual baseline construction, and leakage analysis are applied on top of the account by the relevant market methodology (e.g., Verra VM0033). Document pre-intervention carbon stock values in the condition account to facilitate subsequent additionality assessment.</w:t>
      </w:r>
    </w:p>
    <w:bookmarkStart w:id="198" w:name="X904e550dc63d6d4bb6f57d3cba96d5ed05df4a7"/>
    <w:p>
      <w:pPr>
        <w:pStyle w:val="Heading3"/>
      </w:pPr>
      <w:r>
        <w:rPr>
          <w:lang w:val="en"/>
        </w:rPr>
        <w:t xml:space="preserve">3.8</w:t>
      </w:r>
      <w:r>
        <w:rPr>
          <w:lang w:val="en"/>
        </w:rPr>
        <w:t xml:space="preserve"> </w:t>
      </w:r>
      <w:r>
        <w:rPr>
          <w:lang w:val="en"/>
        </w:rPr>
        <w:t xml:space="preserve">Worked Example</w:t>
      </w:r>
    </w:p>
    <w:p>
      <w:pPr>
        <w:pStyle w:val="FirstParagraph"/>
      </w:pPr>
      <w:hyperlink w:anchor="X904e550dc63d6d4bb6f57d3cba96d5ed05df4a7">
        <w:r>
          <w:drawing>
            <wp:inline>
              <wp:extent cx="152400" cy="152400"/>
              <wp:effectExtent b="0" l="0" r="0" t="0"/>
              <wp:docPr descr="" title="" id="1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“3.8 Worked Example”</w:t>
        </w:r>
      </w:hyperlink>
    </w:p>
    <w:bookmarkEnd w:id="198"/>
    <w:p>
      <w:pPr>
        <w:pStyle w:val="BodyText"/>
      </w:pPr>
      <w:r>
        <w:rPr>
          <w:lang w:val="en"/>
        </w:rPr>
        <w:t xml:space="preserve">¶1</w:t>
      </w:r>
      <w:r>
        <w:rPr>
          <w:lang w:val="en"/>
        </w:rPr>
        <w:t xml:space="preserve"> </w:t>
      </w:r>
      <w:r>
        <w:rPr>
          <w:lang w:val="en"/>
        </w:rPr>
        <w:t xml:space="preserve">This worked example demonstrates the full accounting sequence for a hypothetical coastal zone in a Southeast Asian setting. All data are synthetic and illustrative.</w:t>
      </w:r>
    </w:p>
    <w:p>
      <w:pPr>
        <w:pStyle w:val="BodyText"/>
      </w:pPr>
      <w:r>
        <w:rPr>
          <w:lang w:val="en"/>
        </w:rPr>
        <w:t xml:space="preserve">¶2</w:t>
      </w:r>
      <w:r>
        <w:rPr>
          <w:lang w:val="en"/>
        </w:rPr>
        <w:t xml:space="preserve"> </w:t>
      </w:r>
      <w:r>
        <w:rPr>
          <w:bCs/>
          <w:b/>
          <w:lang w:val="en"/>
        </w:rPr>
        <w:t xml:space="preserve">Setting:</w:t>
      </w:r>
      <w:r>
        <w:rPr>
          <w:lang w:val="en"/>
        </w:rPr>
        <w:t xml:space="preserve"> </w:t>
      </w:r>
      <w:r>
        <w:rPr>
          <w:lang w:val="en"/>
        </w:rPr>
        <w:t xml:space="preserve">8,000 ha of mangrove forest (MFT1.2) and 3,000 ha of salt marsh (MFT1.3), totalling 11,000 ha dominated by</w:t>
      </w:r>
      <w:r>
        <w:rPr>
          <w:lang w:val="en"/>
        </w:rPr>
        <w:t xml:space="preserve"> </w:t>
      </w:r>
      <w:r>
        <w:rPr>
          <w:iCs/>
          <w:i/>
          <w:lang w:val="en"/>
        </w:rPr>
        <w:t xml:space="preserve">Rhizophora</w:t>
      </w:r>
      <w:r>
        <w:rPr>
          <w:lang w:val="en"/>
        </w:rPr>
        <w:t xml:space="preserve"> </w:t>
      </w:r>
      <w:r>
        <w:rPr>
          <w:lang w:val="en"/>
        </w:rPr>
        <w:t xml:space="preserve">and</w:t>
      </w:r>
      <w:r>
        <w:rPr>
          <w:lang w:val="en"/>
        </w:rPr>
        <w:t xml:space="preserve"> </w:t>
      </w:r>
      <w:r>
        <w:rPr>
          <w:iCs/>
          <w:i/>
          <w:lang w:val="en"/>
        </w:rPr>
        <w:t xml:space="preserve">Avicennia</w:t>
      </w:r>
      <w:r>
        <w:rPr>
          <w:lang w:val="en"/>
        </w:rPr>
        <w:t xml:space="preserve"> </w:t>
      </w:r>
      <w:r>
        <w:rPr>
          <w:lang w:val="en"/>
        </w:rPr>
        <w:t xml:space="preserve">species.</w:t>
      </w:r>
    </w:p>
    <w:p>
      <w:pPr>
        <w:pStyle w:val="BodyText"/>
      </w:pPr>
      <w:r>
        <w:rPr>
          <w:lang w:val="en"/>
        </w:rPr>
        <w:t xml:space="preserve">¶3</w:t>
      </w:r>
      <w:r>
        <w:rPr>
          <w:lang w:val="en"/>
        </w:rPr>
        <w:t xml:space="preserve"> </w:t>
      </w:r>
      <w:r>
        <w:rPr>
          <w:bCs/>
          <w:b/>
          <w:lang w:val="en"/>
        </w:rPr>
        <w:t xml:space="preserve">Step 1: Extent account (year t to t+1)</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Entry</w:t>
            </w:r>
          </w:p>
        </w:tc>
        <w:tc>
          <w:tcPr/>
          <w:p>
            <w:pPr>
              <w:pStyle w:val="Compact"/>
              <w:jc w:val="left"/>
            </w:pPr>
            <w:r>
              <w:rPr>
                <w:lang w:val="en"/>
              </w:rPr>
              <w:t xml:space="preserve">Mangroves (MFT1.2)</w:t>
            </w:r>
          </w:p>
        </w:tc>
        <w:tc>
          <w:tcPr/>
          <w:p>
            <w:pPr>
              <w:pStyle w:val="Compact"/>
              <w:jc w:val="left"/>
            </w:pPr>
            <w:r>
              <w:rPr>
                <w:lang w:val="en"/>
              </w:rPr>
              <w:t xml:space="preserve">Saltmarshes (MFT1.3)</w:t>
            </w:r>
          </w:p>
        </w:tc>
        <w:tc>
          <w:tcPr/>
          <w:p>
            <w:pPr>
              <w:pStyle w:val="Compact"/>
              <w:jc w:val="left"/>
            </w:pPr>
            <w:r>
              <w:rPr>
                <w:lang w:val="en"/>
              </w:rPr>
              <w:t xml:space="preserve">Total</w:t>
            </w:r>
          </w:p>
        </w:tc>
      </w:tr>
      <w:tr>
        <w:tc>
          <w:tcPr/>
          <w:p>
            <w:pPr>
              <w:pStyle w:val="Compact"/>
              <w:jc w:val="left"/>
            </w:pPr>
            <w:r>
              <w:rPr>
                <w:lang w:val="en"/>
              </w:rPr>
              <w:t xml:space="preserve">Opening extent (ha)</w:t>
            </w:r>
          </w:p>
        </w:tc>
        <w:tc>
          <w:tcPr/>
          <w:p>
            <w:pPr>
              <w:pStyle w:val="Compact"/>
              <w:jc w:val="left"/>
            </w:pPr>
            <w:r>
              <w:rPr>
                <w:lang w:val="en"/>
              </w:rPr>
              <w:t xml:space="preserve">8,000</w:t>
            </w:r>
          </w:p>
        </w:tc>
        <w:tc>
          <w:tcPr/>
          <w:p>
            <w:pPr>
              <w:pStyle w:val="Compact"/>
              <w:jc w:val="left"/>
            </w:pPr>
            <w:r>
              <w:rPr>
                <w:lang w:val="en"/>
              </w:rPr>
              <w:t xml:space="preserve">3,000</w:t>
            </w:r>
          </w:p>
        </w:tc>
        <w:tc>
          <w:tcPr/>
          <w:p>
            <w:pPr>
              <w:pStyle w:val="Compact"/>
              <w:jc w:val="left"/>
            </w:pPr>
            <w:r>
              <w:rPr>
                <w:lang w:val="en"/>
              </w:rPr>
              <w:t xml:space="preserve">11,000</w:t>
            </w:r>
          </w:p>
        </w:tc>
      </w:tr>
      <w:tr>
        <w:tc>
          <w:tcPr/>
          <w:p>
            <w:pPr>
              <w:pStyle w:val="Compact"/>
              <w:jc w:val="left"/>
            </w:pPr>
            <w:r>
              <w:rPr>
                <w:bCs/>
                <w:b/>
                <w:lang w:val="en"/>
              </w:rPr>
              <w:t xml:space="preserve">Additions to extent</w:t>
            </w:r>
          </w:p>
        </w:tc>
        <w:tc>
          <w:tcPr/>
          <w:p>
            <w:pPr>
              <w:pStyle w:val="Compact"/>
            </w:pPr>
          </w:p>
        </w:tc>
        <w:tc>
          <w:tcPr/>
          <w:p>
            <w:pPr>
              <w:pStyle w:val="Compact"/>
            </w:pPr>
          </w:p>
        </w:tc>
        <w:tc>
          <w:tcPr/>
          <w:p>
            <w:pPr>
              <w:pStyle w:val="Compact"/>
            </w:pPr>
          </w:p>
        </w:tc>
      </w:tr>
      <w:tr>
        <w:tc>
          <w:tcPr/>
          <w:p>
            <w:pPr>
              <w:pStyle w:val="Compact"/>
              <w:jc w:val="left"/>
            </w:pPr>
            <w:r>
              <w:rPr>
                <w:lang w:val="en"/>
              </w:rPr>
              <w:t xml:space="preserve">— Managed expansions (restoration planting)</w:t>
            </w:r>
          </w:p>
        </w:tc>
        <w:tc>
          <w:tcPr/>
          <w:p>
            <w:pPr>
              <w:pStyle w:val="Compact"/>
              <w:jc w:val="left"/>
            </w:pPr>
            <w:r>
              <w:rPr>
                <w:lang w:val="en"/>
              </w:rPr>
              <w:t xml:space="preserve">120</w:t>
            </w:r>
          </w:p>
        </w:tc>
        <w:tc>
          <w:tcPr/>
          <w:p>
            <w:pPr>
              <w:pStyle w:val="Compact"/>
              <w:jc w:val="left"/>
            </w:pPr>
            <w:r>
              <w:rPr>
                <w:lang w:val="en"/>
              </w:rPr>
              <w:t xml:space="preserve">25</w:t>
            </w:r>
          </w:p>
        </w:tc>
        <w:tc>
          <w:tcPr/>
          <w:p>
            <w:pPr>
              <w:pStyle w:val="Compact"/>
              <w:jc w:val="left"/>
            </w:pPr>
            <w:r>
              <w:rPr>
                <w:lang w:val="en"/>
              </w:rPr>
              <w:t xml:space="preserve">145</w:t>
            </w:r>
          </w:p>
        </w:tc>
      </w:tr>
      <w:tr>
        <w:tc>
          <w:tcPr/>
          <w:p>
            <w:pPr>
              <w:pStyle w:val="Compact"/>
              <w:jc w:val="left"/>
            </w:pPr>
            <w:r>
              <w:rPr>
                <w:lang w:val="en"/>
              </w:rPr>
              <w:t xml:space="preserve">— Unmanaged expansions (natural colonisation)</w:t>
            </w:r>
          </w:p>
        </w:tc>
        <w:tc>
          <w:tcPr/>
          <w:p>
            <w:pPr>
              <w:pStyle w:val="Compact"/>
              <w:jc w:val="left"/>
            </w:pPr>
            <w:r>
              <w:rPr>
                <w:lang w:val="en"/>
              </w:rPr>
              <w:t xml:space="preserve">45</w:t>
            </w:r>
          </w:p>
        </w:tc>
        <w:tc>
          <w:tcPr/>
          <w:p>
            <w:pPr>
              <w:pStyle w:val="Compact"/>
              <w:jc w:val="left"/>
            </w:pPr>
            <w:r>
              <w:rPr>
                <w:lang w:val="en"/>
              </w:rPr>
              <w:t xml:space="preserve">15</w:t>
            </w:r>
          </w:p>
        </w:tc>
        <w:tc>
          <w:tcPr/>
          <w:p>
            <w:pPr>
              <w:pStyle w:val="Compact"/>
              <w:jc w:val="left"/>
            </w:pPr>
            <w:r>
              <w:rPr>
                <w:lang w:val="en"/>
              </w:rPr>
              <w:t xml:space="preserve">60</w:t>
            </w:r>
          </w:p>
        </w:tc>
      </w:tr>
      <w:tr>
        <w:tc>
          <w:tcPr/>
          <w:p>
            <w:pPr>
              <w:pStyle w:val="Compact"/>
              <w:jc w:val="left"/>
            </w:pPr>
            <w:r>
              <w:rPr>
                <w:iCs/>
                <w:i/>
                <w:lang w:val="en"/>
              </w:rPr>
              <w:t xml:space="preserve">Total additions</w:t>
            </w:r>
          </w:p>
        </w:tc>
        <w:tc>
          <w:tcPr/>
          <w:p>
            <w:pPr>
              <w:pStyle w:val="Compact"/>
              <w:jc w:val="left"/>
            </w:pPr>
            <w:r>
              <w:rPr>
                <w:lang w:val="en"/>
              </w:rPr>
              <w:t xml:space="preserve">165</w:t>
            </w:r>
          </w:p>
        </w:tc>
        <w:tc>
          <w:tcPr/>
          <w:p>
            <w:pPr>
              <w:pStyle w:val="Compact"/>
              <w:jc w:val="left"/>
            </w:pPr>
            <w:r>
              <w:rPr>
                <w:lang w:val="en"/>
              </w:rPr>
              <w:t xml:space="preserve">40</w:t>
            </w:r>
          </w:p>
        </w:tc>
        <w:tc>
          <w:tcPr/>
          <w:p>
            <w:pPr>
              <w:pStyle w:val="Compact"/>
              <w:jc w:val="left"/>
            </w:pPr>
            <w:r>
              <w:rPr>
                <w:lang w:val="en"/>
              </w:rPr>
              <w:t xml:space="preserve">205</w:t>
            </w:r>
          </w:p>
        </w:tc>
      </w:tr>
      <w:tr>
        <w:tc>
          <w:tcPr/>
          <w:p>
            <w:pPr>
              <w:pStyle w:val="Compact"/>
              <w:jc w:val="left"/>
            </w:pPr>
            <w:r>
              <w:rPr>
                <w:bCs/>
                <w:b/>
                <w:lang w:val="en"/>
              </w:rPr>
              <w:t xml:space="preserve">Reductions in extent</w:t>
            </w:r>
          </w:p>
        </w:tc>
        <w:tc>
          <w:tcPr/>
          <w:p>
            <w:pPr>
              <w:pStyle w:val="Compact"/>
            </w:pPr>
          </w:p>
        </w:tc>
        <w:tc>
          <w:tcPr/>
          <w:p>
            <w:pPr>
              <w:pStyle w:val="Compact"/>
            </w:pPr>
          </w:p>
        </w:tc>
        <w:tc>
          <w:tcPr/>
          <w:p>
            <w:pPr>
              <w:pStyle w:val="Compact"/>
            </w:pPr>
          </w:p>
        </w:tc>
      </w:tr>
      <w:tr>
        <w:tc>
          <w:tcPr/>
          <w:p>
            <w:pPr>
              <w:pStyle w:val="Compact"/>
              <w:jc w:val="left"/>
            </w:pPr>
            <w:r>
              <w:rPr>
                <w:lang w:val="en"/>
              </w:rPr>
              <w:t xml:space="preserve">— Managed reductions (aquaculture conversion)</w:t>
            </w:r>
          </w:p>
        </w:tc>
        <w:tc>
          <w:tcPr/>
          <w:p>
            <w:pPr>
              <w:pStyle w:val="Compact"/>
              <w:jc w:val="left"/>
            </w:pPr>
            <w:r>
              <w:rPr>
                <w:lang w:val="en"/>
              </w:rPr>
              <w:t xml:space="preserve">200</w:t>
            </w:r>
          </w:p>
        </w:tc>
        <w:tc>
          <w:tcPr/>
          <w:p>
            <w:pPr>
              <w:pStyle w:val="Compact"/>
              <w:jc w:val="left"/>
            </w:pPr>
            <w:r>
              <w:rPr>
                <w:lang w:val="en"/>
              </w:rPr>
              <w:t xml:space="preserve">10</w:t>
            </w:r>
          </w:p>
        </w:tc>
        <w:tc>
          <w:tcPr/>
          <w:p>
            <w:pPr>
              <w:pStyle w:val="Compact"/>
              <w:jc w:val="left"/>
            </w:pPr>
            <w:r>
              <w:rPr>
                <w:lang w:val="en"/>
              </w:rPr>
              <w:t xml:space="preserve">210</w:t>
            </w:r>
          </w:p>
        </w:tc>
      </w:tr>
      <w:tr>
        <w:tc>
          <w:tcPr/>
          <w:p>
            <w:pPr>
              <w:pStyle w:val="Compact"/>
              <w:jc w:val="left"/>
            </w:pPr>
            <w:r>
              <w:rPr>
                <w:lang w:val="en"/>
              </w:rPr>
              <w:t xml:space="preserve">— Unmanaged reductions (erosion, storm damage)</w:t>
            </w:r>
          </w:p>
        </w:tc>
        <w:tc>
          <w:tcPr/>
          <w:p>
            <w:pPr>
              <w:pStyle w:val="Compact"/>
              <w:jc w:val="left"/>
            </w:pPr>
            <w:r>
              <w:rPr>
                <w:lang w:val="en"/>
              </w:rPr>
              <w:t xml:space="preserve">65</w:t>
            </w:r>
          </w:p>
        </w:tc>
        <w:tc>
          <w:tcPr/>
          <w:p>
            <w:pPr>
              <w:pStyle w:val="Compact"/>
              <w:jc w:val="left"/>
            </w:pPr>
            <w:r>
              <w:rPr>
                <w:lang w:val="en"/>
              </w:rPr>
              <w:t xml:space="preserve">30</w:t>
            </w:r>
          </w:p>
        </w:tc>
        <w:tc>
          <w:tcPr/>
          <w:p>
            <w:pPr>
              <w:pStyle w:val="Compact"/>
              <w:jc w:val="left"/>
            </w:pPr>
            <w:r>
              <w:rPr>
                <w:lang w:val="en"/>
              </w:rPr>
              <w:t xml:space="preserve">95</w:t>
            </w:r>
          </w:p>
        </w:tc>
      </w:tr>
      <w:tr>
        <w:tc>
          <w:tcPr/>
          <w:p>
            <w:pPr>
              <w:pStyle w:val="Compact"/>
              <w:jc w:val="left"/>
            </w:pPr>
            <w:r>
              <w:rPr>
                <w:iCs/>
                <w:i/>
                <w:lang w:val="en"/>
              </w:rPr>
              <w:t xml:space="preserve">Total reductions</w:t>
            </w:r>
          </w:p>
        </w:tc>
        <w:tc>
          <w:tcPr/>
          <w:p>
            <w:pPr>
              <w:pStyle w:val="Compact"/>
              <w:jc w:val="left"/>
            </w:pPr>
            <w:r>
              <w:rPr>
                <w:lang w:val="en"/>
              </w:rPr>
              <w:t xml:space="preserve">265</w:t>
            </w:r>
          </w:p>
        </w:tc>
        <w:tc>
          <w:tcPr/>
          <w:p>
            <w:pPr>
              <w:pStyle w:val="Compact"/>
              <w:jc w:val="left"/>
            </w:pPr>
            <w:r>
              <w:rPr>
                <w:lang w:val="en"/>
              </w:rPr>
              <w:t xml:space="preserve">40</w:t>
            </w:r>
          </w:p>
        </w:tc>
        <w:tc>
          <w:tcPr/>
          <w:p>
            <w:pPr>
              <w:pStyle w:val="Compact"/>
              <w:jc w:val="left"/>
            </w:pPr>
            <w:r>
              <w:rPr>
                <w:lang w:val="en"/>
              </w:rPr>
              <w:t xml:space="preserve">305</w:t>
            </w:r>
          </w:p>
        </w:tc>
      </w:tr>
      <w:tr>
        <w:tc>
          <w:tcPr/>
          <w:p>
            <w:pPr>
              <w:pStyle w:val="Compact"/>
              <w:jc w:val="left"/>
            </w:pPr>
            <w:r>
              <w:rPr>
                <w:lang w:val="en"/>
              </w:rPr>
              <w:t xml:space="preserve">Net change in extent</w:t>
            </w:r>
          </w:p>
        </w:tc>
        <w:tc>
          <w:tcPr/>
          <w:p>
            <w:pPr>
              <w:pStyle w:val="Compact"/>
              <w:jc w:val="left"/>
            </w:pPr>
            <w:r>
              <w:rPr>
                <w:lang w:val="en"/>
              </w:rPr>
              <w:t xml:space="preserve">-100</w:t>
            </w:r>
          </w:p>
        </w:tc>
        <w:tc>
          <w:tcPr/>
          <w:p>
            <w:pPr>
              <w:pStyle w:val="Compact"/>
              <w:jc w:val="left"/>
            </w:pPr>
            <w:r>
              <w:rPr>
                <w:lang w:val="en"/>
              </w:rPr>
              <w:t xml:space="preserve">0</w:t>
            </w:r>
          </w:p>
        </w:tc>
        <w:tc>
          <w:tcPr/>
          <w:p>
            <w:pPr>
              <w:pStyle w:val="Compact"/>
              <w:jc w:val="left"/>
            </w:pPr>
            <w:r>
              <w:rPr>
                <w:lang w:val="en"/>
              </w:rPr>
              <w:t xml:space="preserve">-100</w:t>
            </w:r>
          </w:p>
        </w:tc>
      </w:tr>
      <w:tr>
        <w:tc>
          <w:tcPr/>
          <w:p>
            <w:pPr>
              <w:pStyle w:val="Compact"/>
              <w:jc w:val="left"/>
            </w:pPr>
            <w:r>
              <w:rPr>
                <w:lang w:val="en"/>
              </w:rPr>
              <w:t xml:space="preserve">Closing extent (ha)</w:t>
            </w:r>
          </w:p>
        </w:tc>
        <w:tc>
          <w:tcPr/>
          <w:p>
            <w:pPr>
              <w:pStyle w:val="Compact"/>
              <w:jc w:val="left"/>
            </w:pPr>
            <w:r>
              <w:rPr>
                <w:lang w:val="en"/>
              </w:rPr>
              <w:t xml:space="preserve">7,900</w:t>
            </w:r>
          </w:p>
        </w:tc>
        <w:tc>
          <w:tcPr/>
          <w:p>
            <w:pPr>
              <w:pStyle w:val="Compact"/>
              <w:jc w:val="left"/>
            </w:pPr>
            <w:r>
              <w:rPr>
                <w:lang w:val="en"/>
              </w:rPr>
              <w:t xml:space="preserve">3,000</w:t>
            </w:r>
          </w:p>
        </w:tc>
        <w:tc>
          <w:tcPr/>
          <w:p>
            <w:pPr>
              <w:pStyle w:val="Compact"/>
              <w:jc w:val="left"/>
            </w:pPr>
            <w:r>
              <w:rPr>
                <w:lang w:val="en"/>
              </w:rPr>
              <w:t xml:space="preserve">10,900</w:t>
            </w:r>
          </w:p>
        </w:tc>
      </w:tr>
    </w:tbl>
    <w:p>
      <w:pPr>
        <w:pStyle w:val="BodyText"/>
      </w:pPr>
      <w:r>
        <w:rPr>
          <w:lang w:val="en"/>
        </w:rPr>
        <w:t xml:space="preserve">¶4</w:t>
      </w:r>
      <w:r>
        <w:rPr>
          <w:lang w:val="en"/>
        </w:rPr>
        <w:t xml:space="preserve"> </w:t>
      </w:r>
      <w:r>
        <w:rPr>
          <w:bCs/>
          <w:b/>
          <w:lang w:val="en"/>
        </w:rPr>
        <w:t xml:space="preserve">Interpretation:</w:t>
      </w:r>
      <w:r>
        <w:rPr>
          <w:lang w:val="en"/>
        </w:rPr>
        <w:t xml:space="preserve"> </w:t>
      </w:r>
      <w:r>
        <w:rPr>
          <w:lang w:val="en"/>
        </w:rPr>
        <w:t xml:space="preserve">Net loss of 100 ha of mangroves driven by aquaculture conversion exceeding restoration. Saltmarshes showed no net change.</w:t>
      </w:r>
    </w:p>
    <w:p>
      <w:pPr>
        <w:pStyle w:val="BodyText"/>
      </w:pPr>
      <w:r>
        <w:rPr>
          <w:lang w:val="en"/>
        </w:rPr>
        <w:t xml:space="preserve">¶5</w:t>
      </w:r>
      <w:r>
        <w:rPr>
          <w:lang w:val="en"/>
        </w:rPr>
        <w:t xml:space="preserve"> </w:t>
      </w:r>
      <w:r>
        <w:rPr>
          <w:bCs/>
          <w:b/>
          <w:lang w:val="en"/>
        </w:rPr>
        <w:t xml:space="preserve">Step 2: Condition account</w:t>
      </w:r>
    </w:p>
    <w:p>
      <w:pPr>
        <w:pStyle w:val="BodyText"/>
      </w:pPr>
      <w:r>
        <w:rPr>
          <w:lang w:val="en"/>
        </w:rPr>
        <w:t xml:space="preserve">¶6</w:t>
      </w:r>
      <w:r>
        <w:rPr>
          <w:lang w:val="en"/>
        </w:rPr>
        <w:t xml:space="preserve"> </w:t>
      </w:r>
      <w:r>
        <w:rPr>
          <w:lang w:val="en"/>
        </w:rPr>
        <w:t xml:space="preserve">Condition indicators derived from field survey and remote sensing, using minimally disturbed reference sites: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Condition variable</w:t>
            </w:r>
          </w:p>
        </w:tc>
        <w:tc>
          <w:tcPr/>
          <w:p>
            <w:pPr>
              <w:pStyle w:val="Compact"/>
              <w:jc w:val="left"/>
            </w:pPr>
            <w:r>
              <w:rPr>
                <w:lang w:val="en"/>
              </w:rPr>
              <w:t xml:space="preserve">Observed value</w:t>
            </w:r>
          </w:p>
        </w:tc>
        <w:tc>
          <w:tcPr/>
          <w:p>
            <w:pPr>
              <w:pStyle w:val="Compact"/>
              <w:jc w:val="left"/>
            </w:pPr>
            <w:r>
              <w:rPr>
                <w:lang w:val="en"/>
              </w:rPr>
              <w:t xml:space="preserve">VH (reference)</w:t>
            </w:r>
          </w:p>
        </w:tc>
        <w:tc>
          <w:tcPr/>
          <w:p>
            <w:pPr>
              <w:pStyle w:val="Compact"/>
              <w:jc w:val="left"/>
            </w:pPr>
            <w:r>
              <w:rPr>
                <w:lang w:val="en"/>
              </w:rPr>
              <w:t xml:space="preserve">VL (degraded)</w:t>
            </w:r>
          </w:p>
        </w:tc>
        <w:tc>
          <w:tcPr/>
          <w:p>
            <w:pPr>
              <w:pStyle w:val="Compact"/>
              <w:jc w:val="left"/>
            </w:pPr>
            <w:r>
              <w:rPr>
                <w:lang w:val="en"/>
              </w:rPr>
              <w:t xml:space="preserve">Indicator score</w:t>
            </w:r>
          </w:p>
        </w:tc>
      </w:tr>
      <w:tr>
        <w:tc>
          <w:tcPr/>
          <w:p>
            <w:pPr>
              <w:pStyle w:val="Compact"/>
              <w:jc w:val="left"/>
            </w:pPr>
            <w:r>
              <w:rPr>
                <w:lang w:val="en"/>
              </w:rPr>
              <w:t xml:space="preserve">Canopy cover</w:t>
            </w:r>
          </w:p>
        </w:tc>
        <w:tc>
          <w:tcPr/>
          <w:p>
            <w:pPr>
              <w:pStyle w:val="Compact"/>
              <w:jc w:val="left"/>
            </w:pPr>
            <w:r>
              <w:rPr>
                <w:lang w:val="en"/>
              </w:rPr>
              <w:t xml:space="preserve">72%</w:t>
            </w:r>
          </w:p>
        </w:tc>
        <w:tc>
          <w:tcPr/>
          <w:p>
            <w:pPr>
              <w:pStyle w:val="Compact"/>
              <w:jc w:val="left"/>
            </w:pPr>
            <w:r>
              <w:rPr>
                <w:lang w:val="en"/>
              </w:rPr>
              <w:t xml:space="preserve">90%</w:t>
            </w:r>
          </w:p>
        </w:tc>
        <w:tc>
          <w:tcPr/>
          <w:p>
            <w:pPr>
              <w:pStyle w:val="Compact"/>
              <w:jc w:val="left"/>
            </w:pPr>
            <w:r>
              <w:rPr>
                <w:lang w:val="en"/>
              </w:rPr>
              <w:t xml:space="preserve">20%</w:t>
            </w:r>
          </w:p>
        </w:tc>
        <w:tc>
          <w:tcPr/>
          <w:p>
            <w:pPr>
              <w:pStyle w:val="Compact"/>
              <w:jc w:val="left"/>
            </w:pPr>
            <w:r>
              <w:rPr>
                <w:lang w:val="en"/>
              </w:rPr>
              <w:t xml:space="preserve">0.74</w:t>
            </w:r>
          </w:p>
        </w:tc>
      </w:tr>
      <w:tr>
        <w:tc>
          <w:tcPr/>
          <w:p>
            <w:pPr>
              <w:pStyle w:val="Compact"/>
              <w:jc w:val="left"/>
            </w:pPr>
            <w:r>
              <w:rPr>
                <w:lang w:val="en"/>
              </w:rPr>
              <w:t xml:space="preserve">Seedling density</w:t>
            </w:r>
          </w:p>
        </w:tc>
        <w:tc>
          <w:tcPr/>
          <w:p>
            <w:pPr>
              <w:pStyle w:val="Compact"/>
              <w:jc w:val="left"/>
            </w:pPr>
            <w:r>
              <w:rPr>
                <w:lang w:val="en"/>
              </w:rPr>
              <w:t xml:space="preserve">3,200 stems/ha</w:t>
            </w:r>
          </w:p>
        </w:tc>
        <w:tc>
          <w:tcPr/>
          <w:p>
            <w:pPr>
              <w:pStyle w:val="Compact"/>
              <w:jc w:val="left"/>
            </w:pPr>
            <w:r>
              <w:rPr>
                <w:lang w:val="en"/>
              </w:rPr>
              <w:t xml:space="preserve">5,000</w:t>
            </w:r>
          </w:p>
        </w:tc>
        <w:tc>
          <w:tcPr/>
          <w:p>
            <w:pPr>
              <w:pStyle w:val="Compact"/>
              <w:jc w:val="left"/>
            </w:pPr>
            <w:r>
              <w:rPr>
                <w:lang w:val="en"/>
              </w:rPr>
              <w:t xml:space="preserve">500</w:t>
            </w:r>
          </w:p>
        </w:tc>
        <w:tc>
          <w:tcPr/>
          <w:p>
            <w:pPr>
              <w:pStyle w:val="Compact"/>
              <w:jc w:val="left"/>
            </w:pPr>
            <w:r>
              <w:rPr>
                <w:lang w:val="en"/>
              </w:rPr>
              <w:t xml:space="preserve">0.60</w:t>
            </w:r>
          </w:p>
        </w:tc>
      </w:tr>
      <w:tr>
        <w:tc>
          <w:tcPr/>
          <w:p>
            <w:pPr>
              <w:pStyle w:val="Compact"/>
              <w:jc w:val="left"/>
            </w:pPr>
            <w:r>
              <w:rPr>
                <w:lang w:val="en"/>
              </w:rPr>
              <w:t xml:space="preserve">Sediment accretion rate</w:t>
            </w:r>
          </w:p>
        </w:tc>
        <w:tc>
          <w:tcPr/>
          <w:p>
            <w:pPr>
              <w:pStyle w:val="Compact"/>
              <w:jc w:val="left"/>
            </w:pPr>
            <w:r>
              <w:rPr>
                <w:lang w:val="en"/>
              </w:rPr>
              <w:t xml:space="preserve">4.5 mm/yr</w:t>
            </w:r>
          </w:p>
        </w:tc>
        <w:tc>
          <w:tcPr/>
          <w:p>
            <w:pPr>
              <w:pStyle w:val="Compact"/>
              <w:jc w:val="left"/>
            </w:pPr>
            <w:r>
              <w:rPr>
                <w:lang w:val="en"/>
              </w:rPr>
              <w:t xml:space="preserve">6.0</w:t>
            </w:r>
          </w:p>
        </w:tc>
        <w:tc>
          <w:tcPr/>
          <w:p>
            <w:pPr>
              <w:pStyle w:val="Compact"/>
              <w:jc w:val="left"/>
            </w:pPr>
            <w:r>
              <w:rPr>
                <w:lang w:val="en"/>
              </w:rPr>
              <w:t xml:space="preserve">1.0</w:t>
            </w:r>
          </w:p>
        </w:tc>
        <w:tc>
          <w:tcPr/>
          <w:p>
            <w:pPr>
              <w:pStyle w:val="Compact"/>
              <w:jc w:val="left"/>
            </w:pPr>
            <w:r>
              <w:rPr>
                <w:lang w:val="en"/>
              </w:rPr>
              <w:t xml:space="preserve">0.70</w:t>
            </w:r>
          </w:p>
        </w:tc>
      </w:tr>
      <w:tr>
        <w:tc>
          <w:tcPr/>
          <w:p>
            <w:pPr>
              <w:pStyle w:val="Compact"/>
              <w:jc w:val="left"/>
            </w:pPr>
            <w:r>
              <w:rPr>
                <w:lang w:val="en"/>
              </w:rPr>
              <w:t xml:space="preserve">Water quality (dissolved oxygen)</w:t>
            </w:r>
          </w:p>
        </w:tc>
        <w:tc>
          <w:tcPr/>
          <w:p>
            <w:pPr>
              <w:pStyle w:val="Compact"/>
              <w:jc w:val="left"/>
            </w:pPr>
            <w:r>
              <w:rPr>
                <w:lang w:val="en"/>
              </w:rPr>
              <w:t xml:space="preserve">5.8 mg/L</w:t>
            </w:r>
          </w:p>
        </w:tc>
        <w:tc>
          <w:tcPr/>
          <w:p>
            <w:pPr>
              <w:pStyle w:val="Compact"/>
              <w:jc w:val="left"/>
            </w:pPr>
            <w:r>
              <w:rPr>
                <w:lang w:val="en"/>
              </w:rPr>
              <w:t xml:space="preserve">7.0</w:t>
            </w:r>
          </w:p>
        </w:tc>
        <w:tc>
          <w:tcPr/>
          <w:p>
            <w:pPr>
              <w:pStyle w:val="Compact"/>
              <w:jc w:val="left"/>
            </w:pPr>
            <w:r>
              <w:rPr>
                <w:lang w:val="en"/>
              </w:rPr>
              <w:t xml:space="preserve">3.0</w:t>
            </w:r>
          </w:p>
        </w:tc>
        <w:tc>
          <w:tcPr/>
          <w:p>
            <w:pPr>
              <w:pStyle w:val="Compact"/>
              <w:jc w:val="left"/>
            </w:pPr>
            <w:r>
              <w:rPr>
                <w:lang w:val="en"/>
              </w:rPr>
              <w:t xml:space="preserve">0.70</w:t>
            </w:r>
          </w:p>
        </w:tc>
      </w:tr>
    </w:tbl>
    <w:p>
      <w:pPr>
        <w:pStyle w:val="BodyText"/>
      </w:pPr>
      <w:r>
        <w:rPr>
          <w:lang w:val="en"/>
        </w:rPr>
        <w:t xml:space="preserve">¶7</w:t>
      </w:r>
      <w:r>
        <w:rPr>
          <w:lang w:val="en"/>
        </w:rPr>
        <w:t xml:space="preserve"> </w:t>
      </w:r>
      <w:r>
        <w:rPr>
          <w:lang w:val="en"/>
        </w:rPr>
        <w:t xml:space="preserve">Composite condition index (equal weights): (0.74 + 0.60 + 0.70 + 0.70) / 4 =</w:t>
      </w:r>
      <w:r>
        <w:rPr>
          <w:lang w:val="en"/>
        </w:rPr>
        <w:t xml:space="preserve"> </w:t>
      </w:r>
      <w:r>
        <w:rPr>
          <w:bCs/>
          <w:b/>
          <w:lang w:val="en"/>
        </w:rPr>
        <w:t xml:space="preserve">0.69</w:t>
      </w:r>
    </w:p>
    <w:p>
      <w:pPr>
        <w:pStyle w:val="BodyText"/>
      </w:pPr>
      <w:r>
        <w:rPr>
          <w:lang w:val="en"/>
        </w:rPr>
        <w:t xml:space="preserve">¶8</w:t>
      </w:r>
      <w:r>
        <w:rPr>
          <w:lang w:val="en"/>
        </w:rPr>
        <w:t xml:space="preserve"> </w:t>
      </w:r>
      <w:r>
        <w:rPr>
          <w:lang w:val="en"/>
        </w:rPr>
        <w:t xml:space="preserve">Indicator score calculated using the normalisation formula in</w:t>
      </w:r>
      <w:r>
        <w:rPr>
          <w:lang w:val="en"/>
        </w:rPr>
        <w:t xml:space="preserve"> </w:t>
      </w:r>
      <w:hyperlink r:id="rId82">
        <w:r>
          <w:rPr>
            <w:rStyle w:val="Hyperlink"/>
            <w:bCs/>
            <w:b/>
            <w:lang w:val="en"/>
          </w:rPr>
          <w:t xml:space="preserve">TG-2.1</w:t>
        </w:r>
      </w:hyperlink>
      <w:r>
        <w:rPr>
          <w:lang w:val="en"/>
        </w:rPr>
        <w:t xml:space="preserve"> </w:t>
      </w:r>
      <w:r>
        <w:rPr>
          <w:lang w:val="en"/>
        </w:rPr>
        <w:t xml:space="preserve">Section 3.4.1. Example: canopy cover indicator = (72 - 20) / (90 - 20) = 52 / 70 = 0.74.</w:t>
      </w:r>
    </w:p>
    <w:p>
      <w:pPr>
        <w:pStyle w:val="BodyText"/>
      </w:pPr>
      <w:r>
        <w:rPr>
          <w:lang w:val="en"/>
        </w:rPr>
        <w:t xml:space="preserve">¶9</w:t>
      </w:r>
      <w:r>
        <w:rPr>
          <w:lang w:val="en"/>
        </w:rPr>
        <w:t xml:space="preserve"> </w:t>
      </w:r>
      <w:r>
        <w:rPr>
          <w:bCs/>
          <w:b/>
          <w:lang w:val="en"/>
        </w:rPr>
        <w:t xml:space="preserve">Important:</w:t>
      </w:r>
      <w:r>
        <w:rPr>
          <w:lang w:val="en"/>
        </w:rPr>
        <w:t xml:space="preserve"> </w:t>
      </w:r>
      <w:r>
        <w:rPr>
          <w:lang w:val="en"/>
        </w:rPr>
        <w:t xml:space="preserve">The condition index of 0.69 is a tracker, not a carbon stock multiplier. Each pool is measured independently and entered at its measured value.</w:t>
      </w:r>
    </w:p>
    <w:p>
      <w:pPr>
        <w:pStyle w:val="BodyText"/>
      </w:pPr>
      <w:r>
        <w:rPr>
          <w:lang w:val="en"/>
        </w:rPr>
        <w:t xml:space="preserve">¶10</w:t>
      </w:r>
      <w:r>
        <w:rPr>
          <w:lang w:val="en"/>
        </w:rPr>
        <w:t xml:space="preserve"> </w:t>
      </w:r>
      <w:r>
        <w:rPr>
          <w:bCs/>
          <w:b/>
          <w:lang w:val="en"/>
        </w:rPr>
        <w:t xml:space="preserve">Step 2b: Carbon condition account (mangroves, MFT1.2)</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Carbon pool</w:t>
            </w:r>
          </w:p>
        </w:tc>
        <w:tc>
          <w:tcPr/>
          <w:p>
            <w:pPr>
              <w:pStyle w:val="Compact"/>
              <w:jc w:val="left"/>
            </w:pPr>
            <w:r>
              <w:rPr>
                <w:lang w:val="en"/>
              </w:rPr>
              <w:t xml:space="preserve">Method</w:t>
            </w:r>
          </w:p>
        </w:tc>
        <w:tc>
          <w:tcPr/>
          <w:p>
            <w:pPr>
              <w:pStyle w:val="Compact"/>
              <w:jc w:val="left"/>
            </w:pPr>
            <w:r>
              <w:rPr>
                <w:lang w:val="en"/>
              </w:rPr>
              <w:t xml:space="preserve">Opening (tC/ha)</w:t>
            </w:r>
          </w:p>
        </w:tc>
        <w:tc>
          <w:tcPr/>
          <w:p>
            <w:pPr>
              <w:pStyle w:val="Compact"/>
              <w:jc w:val="left"/>
            </w:pPr>
            <w:r>
              <w:rPr>
                <w:lang w:val="en"/>
              </w:rPr>
              <w:t xml:space="preserve">Closing (tC/ha)</w:t>
            </w:r>
          </w:p>
        </w:tc>
        <w:tc>
          <w:tcPr/>
          <w:p>
            <w:pPr>
              <w:pStyle w:val="Compact"/>
              <w:jc w:val="left"/>
            </w:pPr>
            <w:r>
              <w:rPr>
                <w:lang w:val="en"/>
              </w:rPr>
              <w:t xml:space="preserve">Opening total (tC)</w:t>
            </w:r>
          </w:p>
        </w:tc>
        <w:tc>
          <w:tcPr/>
          <w:p>
            <w:pPr>
              <w:pStyle w:val="Compact"/>
              <w:jc w:val="left"/>
            </w:pPr>
            <w:r>
              <w:rPr>
                <w:lang w:val="en"/>
              </w:rPr>
              <w:t xml:space="preserve">Closing total (tC)</w:t>
            </w:r>
          </w:p>
        </w:tc>
      </w:tr>
      <w:tr>
        <w:tc>
          <w:tcPr/>
          <w:p>
            <w:pPr>
              <w:pStyle w:val="Compact"/>
              <w:jc w:val="left"/>
            </w:pPr>
            <w:r>
              <w:rPr>
                <w:lang w:val="en"/>
              </w:rPr>
              <w:t xml:space="preserve">Above-ground biomass</w:t>
            </w:r>
          </w:p>
        </w:tc>
        <w:tc>
          <w:tcPr/>
          <w:p>
            <w:pPr>
              <w:pStyle w:val="Compact"/>
              <w:jc w:val="left"/>
            </w:pPr>
            <w:r>
              <w:rPr>
                <w:lang w:val="en"/>
              </w:rPr>
              <w:t xml:space="preserve">Komiyama et al. (2005) allometric</w:t>
            </w:r>
          </w:p>
        </w:tc>
        <w:tc>
          <w:tcPr/>
          <w:p>
            <w:pPr>
              <w:pStyle w:val="Compact"/>
              <w:jc w:val="left"/>
            </w:pPr>
            <w:r>
              <w:rPr>
                <w:lang w:val="en"/>
              </w:rPr>
              <w:t xml:space="preserve">120</w:t>
            </w:r>
          </w:p>
        </w:tc>
        <w:tc>
          <w:tcPr/>
          <w:p>
            <w:pPr>
              <w:pStyle w:val="Compact"/>
              <w:jc w:val="left"/>
            </w:pPr>
            <w:r>
              <w:rPr>
                <w:lang w:val="en"/>
              </w:rPr>
              <w:t xml:space="preserve">116</w:t>
            </w:r>
          </w:p>
        </w:tc>
        <w:tc>
          <w:tcPr/>
          <w:p>
            <w:pPr>
              <w:pStyle w:val="Compact"/>
              <w:jc w:val="left"/>
            </w:pPr>
            <w:r>
              <w:rPr>
                <w:lang w:val="en"/>
              </w:rPr>
              <w:t xml:space="preserve">960,000</w:t>
            </w:r>
          </w:p>
        </w:tc>
        <w:tc>
          <w:tcPr/>
          <w:p>
            <w:pPr>
              <w:pStyle w:val="Compact"/>
              <w:jc w:val="left"/>
            </w:pPr>
            <w:r>
              <w:rPr>
                <w:lang w:val="en"/>
              </w:rPr>
              <w:t xml:space="preserve">916,400</w:t>
            </w:r>
          </w:p>
        </w:tc>
      </w:tr>
      <w:tr>
        <w:tc>
          <w:tcPr/>
          <w:p>
            <w:pPr>
              <w:pStyle w:val="Compact"/>
              <w:jc w:val="left"/>
            </w:pPr>
            <w:r>
              <w:rPr>
                <w:lang w:val="en"/>
              </w:rPr>
              <w:t xml:space="preserve">Below-ground biomass</w:t>
            </w:r>
          </w:p>
        </w:tc>
        <w:tc>
          <w:tcPr/>
          <w:p>
            <w:pPr>
              <w:pStyle w:val="Compact"/>
              <w:jc w:val="left"/>
            </w:pPr>
            <w:r>
              <w:rPr>
                <w:lang w:val="en"/>
              </w:rPr>
              <w:t xml:space="preserve">Root:shoot ratio 0.70</w:t>
            </w:r>
          </w:p>
        </w:tc>
        <w:tc>
          <w:tcPr/>
          <w:p>
            <w:pPr>
              <w:pStyle w:val="Compact"/>
              <w:jc w:val="left"/>
            </w:pPr>
            <w:r>
              <w:rPr>
                <w:lang w:val="en"/>
              </w:rPr>
              <w:t xml:space="preserve">84</w:t>
            </w:r>
          </w:p>
        </w:tc>
        <w:tc>
          <w:tcPr/>
          <w:p>
            <w:pPr>
              <w:pStyle w:val="Compact"/>
              <w:jc w:val="left"/>
            </w:pPr>
            <w:r>
              <w:rPr>
                <w:lang w:val="en"/>
              </w:rPr>
              <w:t xml:space="preserve">81</w:t>
            </w:r>
          </w:p>
        </w:tc>
        <w:tc>
          <w:tcPr/>
          <w:p>
            <w:pPr>
              <w:pStyle w:val="Compact"/>
              <w:jc w:val="left"/>
            </w:pPr>
            <w:r>
              <w:rPr>
                <w:lang w:val="en"/>
              </w:rPr>
              <w:t xml:space="preserve">672,000</w:t>
            </w:r>
          </w:p>
        </w:tc>
        <w:tc>
          <w:tcPr/>
          <w:p>
            <w:pPr>
              <w:pStyle w:val="Compact"/>
              <w:jc w:val="left"/>
            </w:pPr>
            <w:r>
              <w:rPr>
                <w:lang w:val="en"/>
              </w:rPr>
              <w:t xml:space="preserve">640,000</w:t>
            </w:r>
          </w:p>
        </w:tc>
      </w:tr>
      <w:tr>
        <w:tc>
          <w:tcPr/>
          <w:p>
            <w:pPr>
              <w:pStyle w:val="Compact"/>
              <w:jc w:val="left"/>
            </w:pPr>
            <w:r>
              <w:rPr>
                <w:lang w:val="en"/>
              </w:rPr>
              <w:t xml:space="preserve">Dead wood</w:t>
            </w:r>
          </w:p>
        </w:tc>
        <w:tc>
          <w:tcPr/>
          <w:p>
            <w:pPr>
              <w:pStyle w:val="Compact"/>
              <w:jc w:val="left"/>
            </w:pPr>
            <w:r>
              <w:rPr>
                <w:lang w:val="en"/>
              </w:rPr>
              <w:t xml:space="preserve">Field inventory</w:t>
            </w:r>
          </w:p>
        </w:tc>
        <w:tc>
          <w:tcPr/>
          <w:p>
            <w:pPr>
              <w:pStyle w:val="Compact"/>
              <w:jc w:val="left"/>
            </w:pPr>
            <w:r>
              <w:rPr>
                <w:lang w:val="en"/>
              </w:rPr>
              <w:t xml:space="preserve">5</w:t>
            </w:r>
          </w:p>
        </w:tc>
        <w:tc>
          <w:tcPr/>
          <w:p>
            <w:pPr>
              <w:pStyle w:val="Compact"/>
              <w:jc w:val="left"/>
            </w:pPr>
            <w:r>
              <w:rPr>
                <w:lang w:val="en"/>
              </w:rPr>
              <w:t xml:space="preserve">5</w:t>
            </w:r>
          </w:p>
        </w:tc>
        <w:tc>
          <w:tcPr/>
          <w:p>
            <w:pPr>
              <w:pStyle w:val="Compact"/>
              <w:jc w:val="left"/>
            </w:pPr>
            <w:r>
              <w:rPr>
                <w:lang w:val="en"/>
              </w:rPr>
              <w:t xml:space="preserve">40,000</w:t>
            </w:r>
          </w:p>
        </w:tc>
        <w:tc>
          <w:tcPr/>
          <w:p>
            <w:pPr>
              <w:pStyle w:val="Compact"/>
              <w:jc w:val="left"/>
            </w:pPr>
            <w:r>
              <w:rPr>
                <w:lang w:val="en"/>
              </w:rPr>
              <w:t xml:space="preserve">39,500</w:t>
            </w:r>
          </w:p>
        </w:tc>
      </w:tr>
      <w:tr>
        <w:tc>
          <w:tcPr/>
          <w:p>
            <w:pPr>
              <w:pStyle w:val="Compact"/>
              <w:jc w:val="left"/>
            </w:pPr>
            <w:r>
              <w:rPr>
                <w:lang w:val="en"/>
              </w:rPr>
              <w:t xml:space="preserve">Litter</w:t>
            </w:r>
          </w:p>
        </w:tc>
        <w:tc>
          <w:tcPr/>
          <w:p>
            <w:pPr>
              <w:pStyle w:val="Compact"/>
              <w:jc w:val="left"/>
            </w:pPr>
            <w:r>
              <w:rPr>
                <w:lang w:val="en"/>
              </w:rPr>
              <w:t xml:space="preserve">Litterfall traps</w:t>
            </w:r>
          </w:p>
        </w:tc>
        <w:tc>
          <w:tcPr/>
          <w:p>
            <w:pPr>
              <w:pStyle w:val="Compact"/>
              <w:jc w:val="left"/>
            </w:pPr>
            <w:r>
              <w:rPr>
                <w:lang w:val="en"/>
              </w:rPr>
              <w:t xml:space="preserve">2</w:t>
            </w:r>
          </w:p>
        </w:tc>
        <w:tc>
          <w:tcPr/>
          <w:p>
            <w:pPr>
              <w:pStyle w:val="Compact"/>
              <w:jc w:val="left"/>
            </w:pPr>
            <w:r>
              <w:rPr>
                <w:lang w:val="en"/>
              </w:rPr>
              <w:t xml:space="preserve">2</w:t>
            </w:r>
          </w:p>
        </w:tc>
        <w:tc>
          <w:tcPr/>
          <w:p>
            <w:pPr>
              <w:pStyle w:val="Compact"/>
              <w:jc w:val="left"/>
            </w:pPr>
            <w:r>
              <w:rPr>
                <w:lang w:val="en"/>
              </w:rPr>
              <w:t xml:space="preserve">16,000</w:t>
            </w:r>
          </w:p>
        </w:tc>
        <w:tc>
          <w:tcPr/>
          <w:p>
            <w:pPr>
              <w:pStyle w:val="Compact"/>
              <w:jc w:val="left"/>
            </w:pPr>
            <w:r>
              <w:rPr>
                <w:lang w:val="en"/>
              </w:rPr>
              <w:t xml:space="preserve">15,800</w:t>
            </w:r>
          </w:p>
        </w:tc>
      </w:tr>
      <w:tr>
        <w:tc>
          <w:tcPr/>
          <w:p>
            <w:pPr>
              <w:pStyle w:val="Compact"/>
              <w:jc w:val="left"/>
            </w:pPr>
            <w:r>
              <w:rPr>
                <w:lang w:val="en"/>
              </w:rPr>
              <w:t xml:space="preserve">SOC (0—1 m)</w:t>
            </w:r>
          </w:p>
        </w:tc>
        <w:tc>
          <w:tcPr/>
          <w:p>
            <w:pPr>
              <w:pStyle w:val="Compact"/>
              <w:jc w:val="left"/>
            </w:pPr>
            <w:r>
              <w:rPr>
                <w:lang w:val="en"/>
              </w:rPr>
              <w:t xml:space="preserve">Sediment coring, bulk density</w:t>
            </w:r>
          </w:p>
        </w:tc>
        <w:tc>
          <w:tcPr/>
          <w:p>
            <w:pPr>
              <w:pStyle w:val="Compact"/>
              <w:jc w:val="left"/>
            </w:pPr>
            <w:r>
              <w:rPr>
                <w:lang w:val="en"/>
              </w:rPr>
              <w:t xml:space="preserve">450</w:t>
            </w:r>
          </w:p>
        </w:tc>
        <w:tc>
          <w:tcPr/>
          <w:p>
            <w:pPr>
              <w:pStyle w:val="Compact"/>
              <w:jc w:val="left"/>
            </w:pPr>
            <w:r>
              <w:rPr>
                <w:lang w:val="en"/>
              </w:rPr>
              <w:t xml:space="preserve">447</w:t>
            </w:r>
          </w:p>
        </w:tc>
        <w:tc>
          <w:tcPr/>
          <w:p>
            <w:pPr>
              <w:pStyle w:val="Compact"/>
              <w:jc w:val="left"/>
            </w:pPr>
            <w:r>
              <w:rPr>
                <w:lang w:val="en"/>
              </w:rPr>
              <w:t xml:space="preserve">3,600,000</w:t>
            </w:r>
          </w:p>
        </w:tc>
        <w:tc>
          <w:tcPr/>
          <w:p>
            <w:pPr>
              <w:pStyle w:val="Compact"/>
              <w:jc w:val="left"/>
            </w:pPr>
            <w:r>
              <w:rPr>
                <w:lang w:val="en"/>
              </w:rPr>
              <w:t xml:space="preserve">3,531,300</w:t>
            </w:r>
          </w:p>
        </w:tc>
      </w:tr>
      <w:tr>
        <w:tc>
          <w:tcPr/>
          <w:p>
            <w:pPr>
              <w:pStyle w:val="Compact"/>
              <w:jc w:val="left"/>
            </w:pPr>
            <w:r>
              <w:rPr>
                <w:bCs/>
                <w:b/>
                <w:lang w:val="en"/>
              </w:rPr>
              <w:t xml:space="preserve">Total</w:t>
            </w:r>
          </w:p>
        </w:tc>
        <w:tc>
          <w:tcPr/>
          <w:p>
            <w:pPr>
              <w:pStyle w:val="Compact"/>
            </w:pPr>
          </w:p>
        </w:tc>
        <w:tc>
          <w:tcPr/>
          <w:p>
            <w:pPr>
              <w:pStyle w:val="Compact"/>
              <w:jc w:val="left"/>
            </w:pPr>
            <w:r>
              <w:rPr>
                <w:bCs/>
                <w:b/>
                <w:lang w:val="en"/>
              </w:rPr>
              <w:t xml:space="preserve">661</w:t>
            </w:r>
          </w:p>
        </w:tc>
        <w:tc>
          <w:tcPr/>
          <w:p>
            <w:pPr>
              <w:pStyle w:val="Compact"/>
              <w:jc w:val="left"/>
            </w:pPr>
            <w:r>
              <w:rPr>
                <w:bCs/>
                <w:b/>
                <w:lang w:val="en"/>
              </w:rPr>
              <w:t xml:space="preserve">651</w:t>
            </w:r>
          </w:p>
        </w:tc>
        <w:tc>
          <w:tcPr/>
          <w:p>
            <w:pPr>
              <w:pStyle w:val="Compact"/>
              <w:jc w:val="left"/>
            </w:pPr>
            <w:r>
              <w:rPr>
                <w:bCs/>
                <w:b/>
                <w:lang w:val="en"/>
              </w:rPr>
              <w:t xml:space="preserve">5,288,000</w:t>
            </w:r>
          </w:p>
        </w:tc>
        <w:tc>
          <w:tcPr/>
          <w:p>
            <w:pPr>
              <w:pStyle w:val="Compact"/>
              <w:jc w:val="left"/>
            </w:pPr>
            <w:r>
              <w:rPr>
                <w:bCs/>
                <w:b/>
                <w:lang w:val="en"/>
              </w:rPr>
              <w:t xml:space="preserve">5,143,000</w:t>
            </w:r>
          </w:p>
        </w:tc>
      </w:tr>
    </w:tbl>
    <w:p>
      <w:pPr>
        <w:pStyle w:val="BodyText"/>
      </w:pPr>
      <w:r>
        <w:rPr>
          <w:lang w:val="en"/>
        </w:rPr>
        <w:t xml:space="preserve">¶11</w:t>
      </w:r>
      <w:r>
        <w:rPr>
          <w:lang w:val="en"/>
        </w:rPr>
        <w:t xml:space="preserve"> </w:t>
      </w:r>
      <w:r>
        <w:rPr>
          <w:lang w:val="en"/>
        </w:rPr>
        <w:t xml:space="preserve">Opening: 8,000 ha. Closing: 7,900 ha (net loss of 100 ha; 200 ha converted to aquaculture). Carbon fraction: a single illustrative 45% of dry biomass is applied to AGB and BGB; compilers apply the pool-specific fractions in footnote 34 (0.47 AGB, 0.39 BGB). SOC expressed directly in tC.</w:t>
      </w:r>
    </w:p>
    <w:p>
      <w:pPr>
        <w:pStyle w:val="BodyText"/>
      </w:pPr>
      <w:r>
        <w:rPr>
          <w:lang w:val="en"/>
        </w:rPr>
        <w:t xml:space="preserve">¶12</w:t>
      </w:r>
      <w:r>
        <w:rPr>
          <w:lang w:val="en"/>
        </w:rPr>
        <w:t xml:space="preserve"> </w:t>
      </w:r>
      <w:r>
        <w:rPr>
          <w:lang w:val="en"/>
        </w:rPr>
        <w:t xml:space="preserve">Net change: 5,143,000 — 5,288,000 =</w:t>
      </w:r>
      <w:r>
        <w:rPr>
          <w:lang w:val="en"/>
        </w:rPr>
        <w:t xml:space="preserve"> </w:t>
      </w:r>
      <w:r>
        <w:rPr>
          <w:bCs/>
          <w:b/>
          <w:lang w:val="en"/>
        </w:rPr>
        <w:t xml:space="preserve">—145,000 tC</w:t>
      </w:r>
      <w:r>
        <w:rPr>
          <w:lang w:val="en"/>
        </w:rPr>
        <w:t xml:space="preserve"> </w:t>
      </w:r>
      <w:r>
        <w:rPr>
          <w:lang w:val="en"/>
        </w:rPr>
        <w:t xml:space="preserve">(about 66,100 tC from the net loss of 100 ha at the opening density of 661 tC/ha, and about 79,000 tC from the decline of 10 tC/ha across the remaining 7,900 ha).</w:t>
      </w:r>
    </w:p>
    <w:p>
      <w:pPr>
        <w:pStyle w:val="BodyText"/>
      </w:pPr>
      <w:r>
        <w:rPr>
          <w:lang w:val="en"/>
        </w:rPr>
        <w:t xml:space="preserve">¶13</w:t>
      </w:r>
      <w:r>
        <w:rPr>
          <w:lang w:val="en"/>
        </w:rPr>
        <w:t xml:space="preserve"> </w:t>
      </w:r>
      <w:r>
        <w:rPr>
          <w:bCs/>
          <w:b/>
          <w:lang w:val="en"/>
        </w:rPr>
        <w:t xml:space="preserve">Step 3a: Carbon services flow account (annual flows)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Service flow component</w:t>
            </w:r>
          </w:p>
        </w:tc>
        <w:tc>
          <w:tcPr/>
          <w:p>
            <w:pPr>
              <w:pStyle w:val="Compact"/>
              <w:jc w:val="left"/>
            </w:pPr>
            <w:r>
              <w:rPr>
                <w:lang w:val="en"/>
              </w:rPr>
              <w:t xml:space="preserve">Physical measure</w:t>
            </w:r>
          </w:p>
        </w:tc>
        <w:tc>
          <w:tcPr/>
          <w:p>
            <w:pPr>
              <w:pStyle w:val="Compact"/>
              <w:jc w:val="left"/>
            </w:pPr>
            <w:r>
              <w:rPr>
                <w:lang w:val="en"/>
              </w:rPr>
              <w:t xml:space="preserve">Unit</w:t>
            </w:r>
          </w:p>
        </w:tc>
        <w:tc>
          <w:tcPr/>
          <w:p>
            <w:pPr>
              <w:pStyle w:val="Compact"/>
              <w:jc w:val="left"/>
            </w:pPr>
            <w:r>
              <w:rPr>
                <w:lang w:val="en"/>
              </w:rPr>
              <w:t xml:space="preserve">Annual value</w:t>
            </w:r>
          </w:p>
        </w:tc>
      </w:tr>
      <w:tr>
        <w:tc>
          <w:tcPr/>
          <w:p>
            <w:pPr>
              <w:pStyle w:val="Compact"/>
              <w:jc w:val="left"/>
            </w:pPr>
            <w:r>
              <w:rPr>
                <w:lang w:val="en"/>
              </w:rPr>
              <w:t xml:space="preserve">Change in biomass carbon pools (AGB, BGB, dead wood, litter)</w:t>
            </w:r>
          </w:p>
        </w:tc>
        <w:tc>
          <w:tcPr/>
          <w:p>
            <w:pPr>
              <w:pStyle w:val="Compact"/>
              <w:jc w:val="left"/>
            </w:pPr>
            <w:r>
              <w:rPr>
                <w:lang w:val="en"/>
              </w:rPr>
              <w:t xml:space="preserve">Stock difference, Step 2b (—76,300 tC)</w:t>
            </w:r>
          </w:p>
        </w:tc>
        <w:tc>
          <w:tcPr/>
          <w:p>
            <w:pPr>
              <w:pStyle w:val="Compact"/>
              <w:jc w:val="left"/>
            </w:pPr>
            <w:r>
              <w:rPr>
                <w:lang w:val="en"/>
              </w:rPr>
              <w:t xml:space="preserve">tCO2e/yr</w:t>
            </w:r>
          </w:p>
        </w:tc>
        <w:tc>
          <w:tcPr/>
          <w:p>
            <w:pPr>
              <w:pStyle w:val="Compact"/>
              <w:jc w:val="left"/>
            </w:pPr>
            <w:r>
              <w:rPr>
                <w:lang w:val="en"/>
              </w:rPr>
              <w:t xml:space="preserve">—279,600</w:t>
            </w:r>
          </w:p>
        </w:tc>
      </w:tr>
      <w:tr>
        <w:tc>
          <w:tcPr/>
          <w:p>
            <w:pPr>
              <w:pStyle w:val="Compact"/>
              <w:jc w:val="left"/>
            </w:pPr>
            <w:r>
              <w:rPr>
                <w:lang w:val="en"/>
              </w:rPr>
              <w:t xml:space="preserve">Change in soil organic carbon (0—1 m)</w:t>
            </w:r>
          </w:p>
        </w:tc>
        <w:tc>
          <w:tcPr/>
          <w:p>
            <w:pPr>
              <w:pStyle w:val="Compact"/>
              <w:jc w:val="left"/>
            </w:pPr>
            <w:r>
              <w:rPr>
                <w:lang w:val="en"/>
              </w:rPr>
              <w:t xml:space="preserve">Stock difference, Step 2b (—68,700 tC)</w:t>
            </w:r>
          </w:p>
        </w:tc>
        <w:tc>
          <w:tcPr/>
          <w:p>
            <w:pPr>
              <w:pStyle w:val="Compact"/>
              <w:jc w:val="left"/>
            </w:pPr>
            <w:r>
              <w:rPr>
                <w:lang w:val="en"/>
              </w:rPr>
              <w:t xml:space="preserve">tCO2e/yr</w:t>
            </w:r>
          </w:p>
        </w:tc>
        <w:tc>
          <w:tcPr/>
          <w:p>
            <w:pPr>
              <w:pStyle w:val="Compact"/>
              <w:jc w:val="left"/>
            </w:pPr>
            <w:r>
              <w:rPr>
                <w:lang w:val="en"/>
              </w:rPr>
              <w:t xml:space="preserve">—251,700</w:t>
            </w:r>
          </w:p>
        </w:tc>
      </w:tr>
      <w:tr>
        <w:tc>
          <w:tcPr/>
          <w:p>
            <w:pPr>
              <w:pStyle w:val="Compact"/>
              <w:jc w:val="left"/>
            </w:pPr>
            <w:r>
              <w:rPr>
                <w:lang w:val="en"/>
              </w:rPr>
              <w:t xml:space="preserve">Net ecosystem carbon balance (NECB)</w:t>
            </w:r>
          </w:p>
        </w:tc>
        <w:tc>
          <w:tcPr/>
          <w:p>
            <w:pPr>
              <w:pStyle w:val="Compact"/>
              <w:jc w:val="left"/>
            </w:pPr>
            <w:r>
              <w:rPr>
                <w:lang w:val="en"/>
              </w:rPr>
              <w:t xml:space="preserve">Stock difference, —145,000 tC x 3.664</w:t>
            </w:r>
          </w:p>
        </w:tc>
        <w:tc>
          <w:tcPr/>
          <w:p>
            <w:pPr>
              <w:pStyle w:val="Compact"/>
              <w:jc w:val="left"/>
            </w:pPr>
            <w:r>
              <w:rPr>
                <w:lang w:val="en"/>
              </w:rPr>
              <w:t xml:space="preserve">tCO2e/yr</w:t>
            </w:r>
          </w:p>
        </w:tc>
        <w:tc>
          <w:tcPr/>
          <w:p>
            <w:pPr>
              <w:pStyle w:val="Compact"/>
              <w:jc w:val="left"/>
            </w:pPr>
            <w:r>
              <w:rPr>
                <w:lang w:val="en"/>
              </w:rPr>
              <w:t xml:space="preserve">—531,300</w:t>
            </w:r>
          </w:p>
        </w:tc>
      </w:tr>
      <w:tr>
        <w:tc>
          <w:tcPr/>
          <w:p>
            <w:pPr>
              <w:pStyle w:val="Compact"/>
              <w:jc w:val="left"/>
            </w:pPr>
            <w:r>
              <w:rPr>
                <w:bCs/>
                <w:b/>
                <w:lang w:val="en"/>
              </w:rPr>
              <w:t xml:space="preserve">Net carbon sequestration service supply</w:t>
            </w:r>
          </w:p>
        </w:tc>
        <w:tc>
          <w:tcPr/>
          <w:p>
            <w:pPr>
              <w:pStyle w:val="Compact"/>
              <w:jc w:val="left"/>
            </w:pPr>
            <w:r>
              <w:rPr>
                <w:lang w:val="en"/>
              </w:rPr>
              <w:t xml:space="preserve">NECB (floored at zero where negative)</w:t>
            </w:r>
          </w:p>
        </w:tc>
        <w:tc>
          <w:tcPr/>
          <w:p>
            <w:pPr>
              <w:pStyle w:val="Compact"/>
              <w:jc w:val="left"/>
            </w:pPr>
            <w:r>
              <w:rPr>
                <w:bCs/>
                <w:b/>
                <w:lang w:val="en"/>
              </w:rPr>
              <w:t xml:space="preserve">tCO2e/yr</w:t>
            </w:r>
          </w:p>
        </w:tc>
        <w:tc>
          <w:tcPr/>
          <w:p>
            <w:pPr>
              <w:pStyle w:val="Compact"/>
              <w:jc w:val="left"/>
            </w:pPr>
            <w:r>
              <w:rPr>
                <w:bCs/>
                <w:b/>
                <w:lang w:val="en"/>
              </w:rPr>
              <w:t xml:space="preserve">0</w:t>
            </w:r>
          </w:p>
        </w:tc>
      </w:tr>
    </w:tbl>
    <w:p>
      <w:pPr>
        <w:pStyle w:val="BodyText"/>
      </w:pPr>
      <w:r>
        <w:rPr>
          <w:lang w:val="en"/>
        </w:rPr>
        <w:t xml:space="preserve">¶14</w:t>
      </w:r>
      <w:r>
        <w:rPr>
          <w:lang w:val="en"/>
        </w:rPr>
        <w:t xml:space="preserve"> </w:t>
      </w:r>
      <w:r>
        <w:rPr>
          <w:lang w:val="en"/>
        </w:rPr>
        <w:t xml:space="preserve">NECB is derived by the stock-difference method (Section 3.3): —145,000 tC x 3.664 = —531,300 tCO2e/yr. Because NECB is negative, the carbon sequestration service entry is set to zero (SEEA EA para. 6.114). A per-hectare burial or accumulation rate is not added on top of the measured stock change, which would double count. The loss is directed to SEEA-CF Air Emission Accounts (aquaculture sector) and the Thematic Carbon Stock Account. Carbon retention service (5,288,000 tC = 19,375,000 tCO2e opening stock) is recorded in the condition account above.</w:t>
      </w:r>
    </w:p>
    <w:p>
      <w:pPr>
        <w:pStyle w:val="BodyText"/>
      </w:pPr>
      <w:r>
        <w:rPr>
          <w:lang w:val="en"/>
        </w:rPr>
        <w:t xml:space="preserve">¶15</w:t>
      </w:r>
      <w:r>
        <w:rPr>
          <w:lang w:val="en"/>
        </w:rPr>
        <w:t xml:space="preserve"> </w:t>
      </w:r>
      <w:r>
        <w:drawing>
          <wp:inline>
            <wp:extent cx="152400" cy="152400"/>
            <wp:effectExtent b="0" l="0" r="0" t="0"/>
            <wp:docPr descr="" title="" id="199"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2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3"/>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Corrected 24 September 2026</w:t>
      </w:r>
    </w:p>
    <w:p>
      <w:pPr>
        <w:pStyle w:val="BodyText"/>
      </w:pPr>
      <w:r>
        <w:rPr>
          <w:lang w:val="en"/>
        </w:rPr>
        <w:t xml:space="preserve">¶16</w:t>
      </w:r>
      <w:r>
        <w:rPr>
          <w:lang w:val="en"/>
        </w:rPr>
        <w:t xml:space="preserve"> </w:t>
      </w:r>
      <w:r>
        <w:rPr>
          <w:lang w:val="en"/>
        </w:rPr>
        <w:t xml:space="preserve">This flow account previously showed net sequestration of +20,500 tCO2e/yr, built from per-hectare rates, while the measured stocks in Step 2b fell by 145,000 tC; on this circular’s own stock-difference rule NECB is negative, so the sequestration service is now zero and the asset value falls from USD 201.3 million to USD 175.7 million.</w:t>
      </w:r>
    </w:p>
    <w:p>
      <w:pPr>
        <w:pStyle w:val="BodyText"/>
      </w:pPr>
      <w:r>
        <w:rPr>
          <w:lang w:val="en"/>
        </w:rPr>
        <w:t xml:space="preserve">¶17</w:t>
      </w:r>
      <w:r>
        <w:rPr>
          <w:lang w:val="en"/>
        </w:rPr>
        <w:t xml:space="preserve"> </w:t>
      </w:r>
      <w:r>
        <w:rPr>
          <w:bCs/>
          <w:b/>
          <w:lang w:val="en"/>
        </w:rPr>
        <w:t xml:space="preserve">Step 3b: Ecosystem service monetary valuation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Service</w:t>
            </w:r>
          </w:p>
        </w:tc>
        <w:tc>
          <w:tcPr/>
          <w:p>
            <w:pPr>
              <w:pStyle w:val="Compact"/>
              <w:jc w:val="left"/>
            </w:pPr>
            <w:r>
              <w:rPr>
                <w:lang w:val="en"/>
              </w:rPr>
              <w:t xml:space="preserve">Physical quantity</w:t>
            </w:r>
          </w:p>
        </w:tc>
        <w:tc>
          <w:tcPr/>
          <w:p>
            <w:pPr>
              <w:pStyle w:val="Compact"/>
              <w:jc w:val="left"/>
            </w:pPr>
            <w:r>
              <w:rPr>
                <w:lang w:val="en"/>
              </w:rPr>
              <w:t xml:space="preserve">Monetary value (USD)</w:t>
            </w:r>
          </w:p>
        </w:tc>
      </w:tr>
      <w:tr>
        <w:tc>
          <w:tcPr/>
          <w:p>
            <w:pPr>
              <w:pStyle w:val="Compact"/>
              <w:jc w:val="left"/>
            </w:pPr>
            <w:r>
              <w:rPr>
                <w:lang w:val="en"/>
              </w:rPr>
              <w:t xml:space="preserve">Carbon sequestration</w:t>
            </w:r>
          </w:p>
        </w:tc>
        <w:tc>
          <w:tcPr/>
          <w:p>
            <w:pPr>
              <w:pStyle w:val="Compact"/>
              <w:jc w:val="left"/>
            </w:pPr>
            <w:r>
              <w:rPr>
                <w:lang w:val="en"/>
              </w:rPr>
              <w:t xml:space="preserve">0 tCO2e/yr (NECB negative)</w:t>
            </w:r>
          </w:p>
        </w:tc>
        <w:tc>
          <w:tcPr/>
          <w:p>
            <w:pPr>
              <w:pStyle w:val="Compact"/>
              <w:jc w:val="left"/>
            </w:pPr>
            <w:r>
              <w:rPr>
                <w:lang w:val="en"/>
              </w:rPr>
              <w:t xml:space="preserve">0 (at USD 80/t CO2e)</w:t>
            </w:r>
          </w:p>
        </w:tc>
      </w:tr>
      <w:tr>
        <w:tc>
          <w:tcPr/>
          <w:p>
            <w:pPr>
              <w:pStyle w:val="Compact"/>
              <w:jc w:val="left"/>
            </w:pPr>
            <w:r>
              <w:rPr>
                <w:lang w:val="en"/>
              </w:rPr>
              <w:t xml:space="preserve">Coastal protection</w:t>
            </w:r>
          </w:p>
        </w:tc>
        <w:tc>
          <w:tcPr/>
          <w:p>
            <w:pPr>
              <w:pStyle w:val="Compact"/>
              <w:jc w:val="left"/>
            </w:pPr>
            <w:r>
              <w:rPr>
                <w:lang w:val="en"/>
              </w:rPr>
              <w:t xml:space="preserve">85 km coastline protected</w:t>
            </w:r>
          </w:p>
        </w:tc>
        <w:tc>
          <w:tcPr/>
          <w:p>
            <w:pPr>
              <w:pStyle w:val="Compact"/>
              <w:jc w:val="left"/>
            </w:pPr>
            <w:r>
              <w:rPr>
                <w:lang w:val="en"/>
              </w:rPr>
              <w:t xml:space="preserve">6,400,000 (avoided damage)</w:t>
            </w:r>
          </w:p>
        </w:tc>
      </w:tr>
      <w:tr>
        <w:tc>
          <w:tcPr/>
          <w:p>
            <w:pPr>
              <w:pStyle w:val="Compact"/>
              <w:jc w:val="left"/>
            </w:pPr>
            <w:r>
              <w:rPr>
                <w:lang w:val="en"/>
              </w:rPr>
              <w:t xml:space="preserve">Fisheries nursery habitat</w:t>
            </w:r>
          </w:p>
        </w:tc>
        <w:tc>
          <w:tcPr/>
          <w:p>
            <w:pPr>
              <w:pStyle w:val="Compact"/>
              <w:jc w:val="left"/>
            </w:pPr>
            <w:r>
              <w:rPr>
                <w:lang w:val="en"/>
              </w:rPr>
              <w:t xml:space="preserve">2,100 tonnes recruitment</w:t>
            </w:r>
          </w:p>
        </w:tc>
        <w:tc>
          <w:tcPr/>
          <w:p>
            <w:pPr>
              <w:pStyle w:val="Compact"/>
              <w:jc w:val="left"/>
            </w:pPr>
            <w:r>
              <w:rPr>
                <w:lang w:val="en"/>
              </w:rPr>
              <w:t xml:space="preserve">3,900,000 (productivity change)</w:t>
            </w:r>
          </w:p>
        </w:tc>
      </w:tr>
      <w:tr>
        <w:tc>
          <w:tcPr/>
          <w:p>
            <w:pPr>
              <w:pStyle w:val="Compact"/>
              <w:jc w:val="left"/>
            </w:pPr>
            <w:r>
              <w:rPr>
                <w:lang w:val="en"/>
              </w:rPr>
              <w:t xml:space="preserve">Timber and NTFPs</w:t>
            </w:r>
          </w:p>
        </w:tc>
        <w:tc>
          <w:tcPr/>
          <w:p>
            <w:pPr>
              <w:pStyle w:val="Compact"/>
              <w:jc w:val="left"/>
            </w:pPr>
            <w:r>
              <w:rPr>
                <w:lang w:val="en"/>
              </w:rPr>
              <w:t xml:space="preserve">1,500 m³ timber; assorted NTFPs</w:t>
            </w:r>
          </w:p>
        </w:tc>
        <w:tc>
          <w:tcPr/>
          <w:p>
            <w:pPr>
              <w:pStyle w:val="Compact"/>
              <w:jc w:val="left"/>
            </w:pPr>
            <w:r>
              <w:rPr>
                <w:lang w:val="en"/>
              </w:rPr>
              <w:t xml:space="preserve">950,000 (market price)</w:t>
            </w:r>
          </w:p>
        </w:tc>
      </w:tr>
      <w:tr>
        <w:tc>
          <w:tcPr/>
          <w:p>
            <w:pPr>
              <w:pStyle w:val="Compact"/>
              <w:jc w:val="left"/>
            </w:pPr>
            <w:r>
              <w:rPr>
                <w:bCs/>
                <w:b/>
                <w:lang w:val="en"/>
              </w:rPr>
              <w:t xml:space="preserve">Total valued services</w:t>
            </w:r>
          </w:p>
        </w:tc>
        <w:tc>
          <w:tcPr/>
          <w:p>
            <w:pPr>
              <w:pStyle w:val="Compact"/>
            </w:pPr>
          </w:p>
        </w:tc>
        <w:tc>
          <w:tcPr/>
          <w:p>
            <w:pPr>
              <w:pStyle w:val="Compact"/>
              <w:jc w:val="left"/>
            </w:pPr>
            <w:r>
              <w:rPr>
                <w:bCs/>
                <w:b/>
                <w:lang w:val="en"/>
              </w:rPr>
              <w:t xml:space="preserve">11,250,000</w:t>
            </w:r>
          </w:p>
        </w:tc>
      </w:tr>
    </w:tbl>
    <w:p>
      <w:pPr>
        <w:pStyle w:val="BodyText"/>
      </w:pPr>
      <w:r>
        <w:rPr>
          <w:lang w:val="en"/>
        </w:rPr>
        <w:t xml:space="preserve">¶18</w:t>
      </w:r>
      <w:r>
        <w:rPr>
          <w:lang w:val="en"/>
        </w:rPr>
        <w:t xml:space="preserve"> </w:t>
      </w:r>
      <w:r>
        <w:rPr>
          <w:iCs/>
          <w:i/>
          <w:lang w:val="en"/>
        </w:rPr>
        <w:t xml:space="preserve">Carbon sequestration:</w:t>
      </w:r>
      <w:r>
        <w:rPr>
          <w:lang w:val="en"/>
        </w:rPr>
        <w:t xml:space="preserve"> </w:t>
      </w:r>
      <w:r>
        <w:rPr>
          <w:lang w:val="en"/>
        </w:rPr>
        <w:t xml:space="preserve">0 x USD 80 = USD 0. The price applies in a period where NECB is positive.</w:t>
      </w:r>
    </w:p>
    <w:p>
      <w:pPr>
        <w:pStyle w:val="BodyText"/>
      </w:pPr>
      <w:r>
        <w:rPr>
          <w:lang w:val="en"/>
        </w:rPr>
        <w:t xml:space="preserve">¶19</w:t>
      </w:r>
      <w:r>
        <w:rPr>
          <w:lang w:val="en"/>
        </w:rPr>
        <w:t xml:space="preserve"> </w:t>
      </w:r>
      <w:r>
        <w:rPr>
          <w:iCs/>
          <w:i/>
          <w:lang w:val="en"/>
        </w:rPr>
        <w:t xml:space="preserve">Coastal protection:</w:t>
      </w:r>
      <w:r>
        <w:rPr>
          <w:lang w:val="en"/>
        </w:rPr>
        <w:t xml:space="preserve"> </w:t>
      </w:r>
      <w:r>
        <w:rPr>
          <w:lang w:val="en"/>
        </w:rPr>
        <w:t xml:space="preserve">Expected damage function approach; avoided damages across storm probability distribution = USD 6.4 million/yr.</w:t>
      </w:r>
    </w:p>
    <w:p>
      <w:pPr>
        <w:pStyle w:val="BodyText"/>
      </w:pPr>
      <w:r>
        <w:rPr>
          <w:lang w:val="en"/>
        </w:rPr>
        <w:t xml:space="preserve">¶20</w:t>
      </w:r>
      <w:r>
        <w:rPr>
          <w:lang w:val="en"/>
        </w:rPr>
        <w:t xml:space="preserve"> </w:t>
      </w:r>
      <w:r>
        <w:rPr>
          <w:iCs/>
          <w:i/>
          <w:lang w:val="en"/>
        </w:rPr>
        <w:t xml:space="preserve">Nursery habitat:</w:t>
      </w:r>
      <w:r>
        <w:rPr>
          <w:lang w:val="en"/>
        </w:rPr>
        <w:t xml:space="preserve"> </w:t>
      </w:r>
      <w:r>
        <w:rPr>
          <w:lang w:val="en"/>
        </w:rPr>
        <w:t xml:space="preserve">Marginal contribution: 0.25 t catch/ha/yr. Nursery area: 8,400 ha (8,000 ha mangrove fringe + 400 ha salt marsh adjacent to tidal creeks; 2,600 ha inland salt marsh excluded as lacking direct fish access). Contribution: 8,400 x 0.25 = 2,100 t/yr. At average fish price USD 1,857/t: USD 3,900,000. Note: If fisheries provisioning is separately valued in national accounts (TG-6.7), exclude the nursery value from the total to avoid double counting. Presented here for illustrative purposes.</w:t>
      </w:r>
    </w:p>
    <w:p>
      <w:pPr>
        <w:pStyle w:val="BodyText"/>
      </w:pPr>
      <w:r>
        <w:rPr>
          <w:lang w:val="en"/>
        </w:rPr>
        <w:t xml:space="preserve">¶21</w:t>
      </w:r>
      <w:r>
        <w:rPr>
          <w:lang w:val="en"/>
        </w:rPr>
        <w:t xml:space="preserve"> </w:t>
      </w:r>
      <w:r>
        <w:rPr>
          <w:bCs/>
          <w:b/>
          <w:lang w:val="en"/>
        </w:rPr>
        <w:t xml:space="preserve">Step 4: Asset valuation</w:t>
      </w:r>
    </w:p>
    <w:p>
      <w:pPr>
        <w:pStyle w:val="BlockText"/>
      </w:pPr>
      <w:r>
        <w:rPr>
          <w:lang w:val="en"/>
        </w:rPr>
        <w:t xml:space="preserve">Asset value = Annual service value x PV annuity factor (4%, 25 years)</w:t>
      </w:r>
      <w:r>
        <w:rPr>
          <w:lang w:val="en"/>
        </w:rPr>
        <w:t xml:space="preserve"> </w:t>
      </w:r>
      <w:r>
        <w:rPr>
          <w:lang w:val="en"/>
        </w:rPr>
        <w:t xml:space="preserve">Asset value = 11,250,000 x 15.62 =</w:t>
      </w:r>
      <w:r>
        <w:rPr>
          <w:lang w:val="en"/>
        </w:rPr>
        <w:t xml:space="preserve"> </w:t>
      </w:r>
      <w:r>
        <w:rPr>
          <w:bCs/>
          <w:b/>
          <w:lang w:val="en"/>
        </w:rPr>
        <w:t xml:space="preserve">USD 175,700,000</w:t>
      </w:r>
    </w:p>
    <w:p>
      <w:pPr>
        <w:pStyle w:val="FirstParagraph"/>
      </w:pPr>
      <w:r>
        <w:rPr>
          <w:lang w:val="en"/>
        </w:rPr>
        <w:t xml:space="preserve">¶22</w:t>
      </w:r>
      <w:r>
        <w:rPr>
          <w:lang w:val="en"/>
        </w:rPr>
        <w:t xml:space="preserve"> </w:t>
      </w:r>
      <w:r>
        <w:rPr>
          <w:lang w:val="en"/>
        </w:rPr>
        <w:t xml:space="preserve">PV annuity factor: [1 - (1 + 0.04)^-25] / 0.04 = 15.62.</w:t>
      </w:r>
    </w:p>
    <w:p>
      <w:pPr>
        <w:pStyle w:val="BodyText"/>
      </w:pPr>
      <w:r>
        <w:rPr>
          <w:lang w:val="en"/>
        </w:rPr>
        <w:t xml:space="preserve">¶23</w:t>
      </w:r>
      <w:r>
        <w:rPr>
          <w:lang w:val="en"/>
        </w:rPr>
        <w:t xml:space="preserve"> </w:t>
      </w:r>
      <w:r>
        <w:rPr>
          <w:bCs/>
          <w:b/>
          <w:lang w:val="en"/>
        </w:rPr>
        <w:t xml:space="preserve">Step 5: Upward connections to policy circulars</w:t>
      </w:r>
    </w:p>
    <w:p>
      <w:pPr>
        <w:pStyle w:val="BodyText"/>
      </w:pPr>
      <w:r>
        <w:rPr>
          <w:lang w:val="en"/>
        </w:rPr>
        <w:t xml:space="preserve">¶24</w:t>
      </w:r>
      <w:r>
        <w:rPr>
          <w:lang w:val="en"/>
        </w:rPr>
        <w:t xml:space="preserve"> </w:t>
      </w:r>
      <w:r>
        <w:rPr>
          <w:bCs/>
          <w:b/>
          <w:lang w:val="en"/>
        </w:rPr>
        <w:t xml:space="preserve">TG-2.8:</w:t>
      </w:r>
      <w:r>
        <w:rPr>
          <w:lang w:val="en"/>
        </w:rPr>
        <w:t xml:space="preserve"> </w:t>
      </w:r>
      <w:r>
        <w:rPr>
          <w:lang w:val="en"/>
        </w:rPr>
        <w:t xml:space="preserve">The net carbon stock change of —145,000 tC (—531,300 tCO2e, a net loss) and above-ground carbon stocks feed into NDC blue carbon reporting and SDG 13 monitoring.</w:t>
      </w:r>
    </w:p>
    <w:p>
      <w:pPr>
        <w:pStyle w:val="BodyText"/>
      </w:pPr>
      <w:r>
        <w:rPr>
          <w:lang w:val="en"/>
        </w:rPr>
        <w:t xml:space="preserve">¶25</w:t>
      </w:r>
      <w:r>
        <w:rPr>
          <w:lang w:val="en"/>
        </w:rPr>
        <w:t xml:space="preserve"> </w:t>
      </w:r>
      <w:r>
        <w:rPr>
          <w:bCs/>
          <w:b/>
          <w:lang w:val="en"/>
        </w:rPr>
        <w:t xml:space="preserve">TG-2.9:</w:t>
      </w:r>
      <w:r>
        <w:rPr>
          <w:lang w:val="en"/>
        </w:rPr>
        <w:t xml:space="preserve"> </w:t>
      </w:r>
      <w:r>
        <w:rPr>
          <w:lang w:val="en"/>
        </w:rPr>
        <w:t xml:space="preserve">Coastal protection value of USD 6.4 million/yr and 85 km protected coastline feed into vulnerability assessments for disaster risk reduction.</w:t>
      </w:r>
    </w:p>
    <w:p>
      <w:pPr>
        <w:pStyle w:val="BodyText"/>
      </w:pPr>
      <w:r>
        <w:rPr>
          <w:lang w:val="en"/>
        </w:rPr>
        <w:t xml:space="preserve">¶26</w:t>
      </w:r>
      <w:r>
        <w:rPr>
          <w:lang w:val="en"/>
        </w:rPr>
        <w:t xml:space="preserve"> </w:t>
      </w:r>
      <w:r>
        <w:rPr>
          <w:bCs/>
          <w:b/>
          <w:lang w:val="en"/>
        </w:rPr>
        <w:t xml:space="preserve">TG-1.8:</w:t>
      </w:r>
      <w:r>
        <w:rPr>
          <w:lang w:val="en"/>
        </w:rPr>
        <w:t xml:space="preserve"> </w:t>
      </w:r>
      <w:r>
        <w:rPr>
          <w:lang w:val="en"/>
        </w:rPr>
        <w:t xml:space="preserve">Asset value of USD 175.7 million and annual service flows provide the measurement foundation for blue bonds, debt-for-nature swaps, or payments for ecosystem services.</w:t>
      </w:r>
    </w:p>
    <w:p>
      <w:pPr>
        <w:pStyle w:val="BodyText"/>
      </w:pPr>
      <w:r>
        <w:rPr>
          <w:lang w:val="en"/>
        </w:rPr>
        <w:t xml:space="preserve">¶27</w:t>
      </w:r>
      <w:r>
        <w:rPr>
          <w:lang w:val="en"/>
        </w:rPr>
        <w:t xml:space="preserve"> </w:t>
      </w:r>
      <w:r>
        <w:rPr>
          <w:lang w:val="en"/>
        </w:rPr>
        <w:t xml:space="preserve">All values are illustrative. The carbon price of USD 80/t CO2e should be replaced with the prevailing compliance market price or social cost of carbon applicable in the compiler’s jurisdiction.</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202" name="Picture"/>
                  <a:graphic>
                    <a:graphicData uri="http://schemas.openxmlformats.org/drawingml/2006/picture">
                      <pic:pic>
                        <pic:nvPicPr>
                          <pic:cNvPr descr="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" id="2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1"/>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6.2.2</w:t>
            </w:r>
            <w:r>
              <w:rPr>
                <w:lang w:val="en"/>
              </w:rPr>
              <w:t xml:space="preserve"> </w:t>
            </w:r>
            <w:r>
              <w:rPr>
                <w:lang w:val="en"/>
              </w:rPr>
              <w:t xml:space="preserve">One mangrove ecosystem asset supplies a service bundle: two final services may be summed; nursery is intermediate; extent is counted once. Final/intermediate role is user-context dependent (SEEA EA para. 6.49).</w:t>
            </w:r>
            <w:r>
              <w:rPr>
                <w:lang w:val="en"/>
              </w:rPr>
              <w:t xml:space="preserve"> </w:t>
            </w:r>
            <w:r>
              <w:rPr>
                <w:lang w:val="en"/>
              </w:rPr>
              <w:t xml:space="preserve">Source:</w:t>
            </w:r>
            <w:r>
              <w:rPr>
                <w:lang w:val="en"/>
              </w:rPr>
              <w:t xml:space="preserve"> </w:t>
            </w:r>
            <w:r>
              <w:rPr>
                <w:lang w:val="en"/>
              </w:rPr>
              <w:t xml:space="preserve">TG-6.2, Sections 3.3--3.6 (mangrove service bundle worked example); final/intermediate distinction per SEEA EA 2024, paras. 6.24 and 6.49; nursery treatment per para 6.15.</w:t>
            </w:r>
            <w:r>
              <w:rPr>
                <w:lang w:val="en"/>
              </w:rPr>
              <w:t xml:space="preserve"> </w:t>
            </w:r>
            <w:r>
              <w:rPr>
                <w:lang w:val="en"/>
              </w:rPr>
              <w:t xml:space="preserve">Adapted from:</w:t>
            </w:r>
            <w:r>
              <w:rPr>
                <w:lang w:val="en"/>
              </w:rPr>
              <w:t xml:space="preserve"> </w:t>
            </w:r>
            <w:r>
              <w:rPr>
                <w:lang w:val="en"/>
              </w:rPr>
              <w:t xml:space="preserve">SEEA EA 2024 ecosystem service concepts (Chapter 6), with GOAP extensions (final/intermediate routing, single-extent caution, beneficiary sub-labels, illustrative-subset framing).</w:t>
            </w:r>
          </w:p>
        </w:tc>
      </w:tr>
    </w:tbl>
    <w:bookmarkStart w:id="206"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2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206"/>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209" w:name="X472497f02f4be431eeb5d0475ca9d67bb1e1f52"/>
    <w:p>
      <w:pPr>
        <w:pStyle w:val="Heading2"/>
      </w:pPr>
      <w:r>
        <w:rPr>
          <w:lang w:val="en"/>
        </w:rPr>
        <w:t xml:space="preserve">5.</w:t>
      </w:r>
      <w:r>
        <w:rPr>
          <w:lang w:val="en"/>
        </w:rPr>
        <w:t xml:space="preserve"> </w:t>
      </w:r>
      <w:r>
        <w:rPr>
          <w:lang w:val="en"/>
        </w:rPr>
        <w:t xml:space="preserve">References and Further Reading</w:t>
      </w:r>
    </w:p>
    <w:p>
      <w:pPr>
        <w:pStyle w:val="FirstParagraph"/>
      </w:pPr>
      <w:hyperlink w:anchor="X472497f02f4be431eeb5d0475ca9d67bb1e1f52">
        <w:r>
          <w:drawing>
            <wp:inline>
              <wp:extent cx="152400" cy="152400"/>
              <wp:effectExtent b="0" l="0" r="0" t="0"/>
              <wp:docPr descr="" title="" id="2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 and Further Reading”</w:t>
        </w:r>
      </w:hyperlink>
    </w:p>
    <w:bookmarkEnd w:id="209"/>
    <w:p>
      <w:pPr>
        <w:pStyle w:val="BodyText"/>
      </w:pPr>
      <w:r>
        <w:rPr>
          <w:lang w:val="en"/>
        </w:rPr>
        <w:t xml:space="preserve">¶1</w:t>
      </w:r>
      <w:r>
        <w:rPr>
          <w:lang w:val="en"/>
        </w:rPr>
        <w:t xml:space="preserve"> </w:t>
      </w:r>
      <w:r>
        <w:rPr>
          <w:bCs/>
          <w:b/>
          <w:lang w:val="en"/>
        </w:rPr>
        <w:t xml:space="preserve">SEEA framework and ecosystem accounting:</w:t>
      </w:r>
    </w:p>
    <w:p>
      <w:pPr>
        <w:numPr>
          <w:ilvl w:val="0"/>
          <w:numId w:val="1017"/>
        </w:numPr>
        <w:pStyle w:val="Compact"/>
      </w:pPr>
      <w:r>
        <w:rPr>
          <w:lang w:val="en"/>
        </w:rPr>
        <w:t xml:space="preserve">¶2</w:t>
      </w:r>
      <w:r>
        <w:rPr>
          <w:lang w:val="en"/>
        </w:rPr>
        <w:t xml:space="preserve"> </w:t>
      </w:r>
      <w:r>
        <w:rPr>
          <w:lang w:val="en"/>
        </w:rPr>
        <w:t xml:space="preserve">United Nations (2021).</w:t>
      </w:r>
      <w:r>
        <w:rPr>
          <w:lang w:val="en"/>
        </w:rPr>
        <w:t xml:space="preserve"> </w:t>
      </w:r>
      <w:r>
        <w:rPr>
          <w:iCs/>
          <w:i/>
          <w:lang w:val="en"/>
        </w:rPr>
        <w:t xml:space="preserve">System of Environmental-Economic Accounting — Ecosystem Accounting (SEEA EA).</w:t>
      </w:r>
      <w:r>
        <w:rPr>
          <w:lang w:val="en"/>
        </w:rPr>
        <w:t xml:space="preserve"> </w:t>
      </w:r>
      <w:r>
        <w:rPr>
          <w:lang w:val="en"/>
        </w:rPr>
        <w:t xml:space="preserve">United Nations Statistical Papers Series F No. 124. New York: United Nations.</w:t>
      </w:r>
    </w:p>
    <w:p>
      <w:pPr>
        <w:numPr>
          <w:ilvl w:val="0"/>
          <w:numId w:val="1017"/>
        </w:numPr>
        <w:pStyle w:val="Compact"/>
      </w:pPr>
      <w:r>
        <w:rPr>
          <w:lang w:val="en"/>
        </w:rPr>
        <w:t xml:space="preserve">¶3</w:t>
      </w:r>
      <w:r>
        <w:rPr>
          <w:lang w:val="en"/>
        </w:rPr>
        <w:t xml:space="preserve"> </w:t>
      </w:r>
      <w:r>
        <w:rPr>
          <w:lang w:val="en"/>
        </w:rPr>
        <w:t xml:space="preserve">United Nations (2022).</w:t>
      </w:r>
      <w:r>
        <w:rPr>
          <w:lang w:val="en"/>
        </w:rPr>
        <w:t xml:space="preserve"> </w:t>
      </w:r>
      <w:r>
        <w:rPr>
          <w:iCs/>
          <w:i/>
          <w:lang w:val="en"/>
        </w:rPr>
        <w:t xml:space="preserve">Monetary Valuation of Ecosystem Services and Assets for Ecosystem Accounting.</w:t>
      </w:r>
      <w:r>
        <w:rPr>
          <w:lang w:val="en"/>
        </w:rPr>
        <w:t xml:space="preserve"> </w:t>
      </w:r>
      <w:r>
        <w:rPr>
          <w:lang w:val="en"/>
        </w:rPr>
        <w:t xml:space="preserve">Technical Report v1.5. New York: UNSD/UNEP.</w:t>
      </w:r>
    </w:p>
    <w:p>
      <w:pPr>
        <w:numPr>
          <w:ilvl w:val="0"/>
          <w:numId w:val="1017"/>
        </w:numPr>
        <w:pStyle w:val="Compact"/>
      </w:pPr>
      <w:r>
        <w:rPr>
          <w:lang w:val="en"/>
        </w:rPr>
        <w:t xml:space="preserve">¶4</w:t>
      </w:r>
      <w:r>
        <w:rPr>
          <w:lang w:val="en"/>
        </w:rPr>
        <w:t xml:space="preserve"> </w:t>
      </w:r>
      <w:r>
        <w:rPr>
          <w:lang w:val="en"/>
        </w:rPr>
        <w:t xml:space="preserve">United Nations Statistics Division (2023).</w:t>
      </w:r>
      <w:r>
        <w:rPr>
          <w:lang w:val="en"/>
        </w:rPr>
        <w:t xml:space="preserve"> </w:t>
      </w:r>
      <w:r>
        <w:rPr>
          <w:iCs/>
          <w:i/>
          <w:lang w:val="en"/>
        </w:rPr>
        <w:t xml:space="preserve">Method of the Ecosystem Condition Account.</w:t>
      </w:r>
      <w:r>
        <w:rPr>
          <w:lang w:val="en"/>
        </w:rPr>
        <w:t xml:space="preserve"> </w:t>
      </w:r>
      <w:r>
        <w:rPr>
          <w:lang w:val="en"/>
        </w:rPr>
        <w:t xml:space="preserve">New York: UNSD/UNEP.</w:t>
      </w:r>
    </w:p>
    <w:p>
      <w:pPr>
        <w:numPr>
          <w:ilvl w:val="0"/>
          <w:numId w:val="1017"/>
        </w:numPr>
        <w:pStyle w:val="Compact"/>
      </w:pPr>
      <w:r>
        <w:rPr>
          <w:lang w:val="en"/>
        </w:rPr>
        <w:t xml:space="preserve">¶5</w:t>
      </w:r>
      <w:r>
        <w:rPr>
          <w:lang w:val="en"/>
        </w:rPr>
        <w:t xml:space="preserve"> </w:t>
      </w:r>
      <w:r>
        <w:rPr>
          <w:lang w:val="en"/>
        </w:rPr>
        <w:t xml:space="preserve">UNSD/SEEA Technical Committee (2025).</w:t>
      </w:r>
      <w:r>
        <w:rPr>
          <w:lang w:val="en"/>
        </w:rPr>
        <w:t xml:space="preserve"> </w:t>
      </w:r>
      <w:r>
        <w:rPr>
          <w:iCs/>
          <w:i/>
          <w:lang w:val="en"/>
        </w:rPr>
        <w:t xml:space="preserve">Draft Guidance Note D1 — Carbon Stock Account.</w:t>
      </w:r>
      <w:r>
        <w:rPr>
          <w:lang w:val="en"/>
        </w:rPr>
        <w:t xml:space="preserve"> </w:t>
      </w:r>
      <w:r>
        <w:rPr>
          <w:lang w:val="en"/>
        </w:rPr>
        <w:t xml:space="preserve">November 2025.</w:t>
      </w:r>
    </w:p>
    <w:p>
      <w:pPr>
        <w:numPr>
          <w:ilvl w:val="0"/>
          <w:numId w:val="1017"/>
        </w:numPr>
        <w:pStyle w:val="Compact"/>
      </w:pPr>
      <w:r>
        <w:rPr>
          <w:lang w:val="en"/>
        </w:rPr>
        <w:t xml:space="preserve">¶6</w:t>
      </w:r>
      <w:r>
        <w:rPr>
          <w:lang w:val="en"/>
        </w:rPr>
        <w:t xml:space="preserve"> </w:t>
      </w:r>
      <w:r>
        <w:rPr>
          <w:lang w:val="en"/>
        </w:rPr>
        <w:t xml:space="preserve">UNSD/SEEA Technical Committee (2025).</w:t>
      </w:r>
      <w:r>
        <w:rPr>
          <w:lang w:val="en"/>
        </w:rPr>
        <w:t xml:space="preserve"> </w:t>
      </w:r>
      <w:r>
        <w:rPr>
          <w:iCs/>
          <w:i/>
          <w:lang w:val="en"/>
        </w:rPr>
        <w:t xml:space="preserve">Draft Guidance Note B3 — Treatment of Carbon Flows in the SEEA CF.</w:t>
      </w:r>
      <w:r>
        <w:rPr>
          <w:lang w:val="en"/>
        </w:rPr>
        <w:t xml:space="preserve"> </w:t>
      </w:r>
      <w:r>
        <w:rPr>
          <w:lang w:val="en"/>
        </w:rPr>
        <w:t xml:space="preserve">November 2025.</w:t>
      </w:r>
    </w:p>
    <w:p>
      <w:pPr>
        <w:numPr>
          <w:ilvl w:val="0"/>
          <w:numId w:val="1017"/>
        </w:numPr>
        <w:pStyle w:val="Compact"/>
      </w:pPr>
      <w:r>
        <w:rPr>
          <w:lang w:val="en"/>
        </w:rPr>
        <w:t xml:space="preserve">¶7</w:t>
      </w:r>
      <w:r>
        <w:rPr>
          <w:lang w:val="en"/>
        </w:rPr>
        <w:t xml:space="preserve"> </w:t>
      </w:r>
      <w:r>
        <w:rPr>
          <w:lang w:val="en"/>
        </w:rPr>
        <w:t xml:space="preserve">Keith, H., Vardon, M., Lindenmayer, D., &amp; Mackey, B. (2019).</w:t>
      </w:r>
      <w:r>
        <w:rPr>
          <w:lang w:val="en"/>
        </w:rPr>
        <w:t xml:space="preserve"> </w:t>
      </w:r>
      <w:r>
        <w:rPr>
          <w:iCs/>
          <w:i/>
          <w:lang w:val="en"/>
        </w:rPr>
        <w:t xml:space="preserve">Accounting for carbon stocks and flows: storage and sequestration are both ecosystem services.</w:t>
      </w:r>
      <w:r>
        <w:rPr>
          <w:lang w:val="en"/>
        </w:rPr>
        <w:t xml:space="preserve"> </w:t>
      </w:r>
      <w:r>
        <w:rPr>
          <w:lang w:val="en"/>
        </w:rPr>
        <w:t xml:space="preserve">25th Meeting of the London Group on Environmental Accounting.</w:t>
      </w:r>
    </w:p>
    <w:p>
      <w:pPr>
        <w:numPr>
          <w:ilvl w:val="0"/>
          <w:numId w:val="1017"/>
        </w:numPr>
        <w:pStyle w:val="Compact"/>
      </w:pPr>
      <w:r>
        <w:rPr>
          <w:lang w:val="en"/>
        </w:rPr>
        <w:t xml:space="preserve">¶8</w:t>
      </w:r>
      <w:r>
        <w:rPr>
          <w:lang w:val="en"/>
        </w:rPr>
        <w:t xml:space="preserve"> </w:t>
      </w:r>
      <w:r>
        <w:rPr>
          <w:lang w:val="en"/>
        </w:rPr>
        <w:t xml:space="preserve">Edens, B., Elsasser, P., &amp; Ivanov, A. (2019).</w:t>
      </w:r>
      <w:r>
        <w:rPr>
          <w:lang w:val="en"/>
        </w:rPr>
        <w:t xml:space="preserve"> </w:t>
      </w:r>
      <w:r>
        <w:rPr>
          <w:iCs/>
          <w:i/>
          <w:lang w:val="en"/>
        </w:rPr>
        <w:t xml:space="preserve">Discussion Paper 6: Defining and valuing carbon-related services in the SEEA EEA.</w:t>
      </w:r>
      <w:r>
        <w:rPr>
          <w:lang w:val="en"/>
        </w:rPr>
        <w:t xml:space="preserve"> </w:t>
      </w:r>
      <w:r>
        <w:rPr>
          <w:lang w:val="en"/>
        </w:rPr>
        <w:t xml:space="preserve">UN Statistics Division.</w:t>
      </w:r>
    </w:p>
    <w:p>
      <w:pPr>
        <w:pStyle w:val="FirstParagraph"/>
      </w:pPr>
      <w:r>
        <w:rPr>
          <w:lang w:val="en"/>
        </w:rPr>
        <w:t xml:space="preserve">¶9</w:t>
      </w:r>
      <w:r>
        <w:rPr>
          <w:lang w:val="en"/>
        </w:rPr>
        <w:t xml:space="preserve"> </w:t>
      </w:r>
      <w:r>
        <w:rPr>
          <w:bCs/>
          <w:b/>
          <w:lang w:val="en"/>
        </w:rPr>
        <w:t xml:space="preserve">IPCC and national inventory:</w:t>
      </w:r>
    </w:p>
    <w:p>
      <w:pPr>
        <w:numPr>
          <w:ilvl w:val="0"/>
          <w:numId w:val="1018"/>
        </w:numPr>
        <w:pStyle w:val="Compact"/>
      </w:pPr>
      <w:r>
        <w:rPr>
          <w:lang w:val="en"/>
        </w:rPr>
        <w:t xml:space="preserve">¶10</w:t>
      </w:r>
      <w:r>
        <w:rPr>
          <w:lang w:val="en"/>
        </w:rPr>
        <w:t xml:space="preserve"> </w:t>
      </w:r>
      <w:r>
        <w:rPr>
          <w:lang w:val="en"/>
        </w:rPr>
        <w:t xml:space="preserve">IPCC (2013).</w:t>
      </w:r>
      <w:r>
        <w:rPr>
          <w:lang w:val="en"/>
        </w:rPr>
        <w:t xml:space="preserve"> </w:t>
      </w:r>
      <w:r>
        <w:rPr>
          <w:iCs/>
          <w:i/>
          <w:lang w:val="en"/>
        </w:rPr>
        <w:t xml:space="preserve">2013 Supplement to the 2006 IPCC Guidelines for National Greenhouse Gas Inventories: Wetlands.</w:t>
      </w:r>
      <w:r>
        <w:rPr>
          <w:lang w:val="en"/>
        </w:rPr>
        <w:t xml:space="preserve"> </w:t>
      </w:r>
      <w:r>
        <w:rPr>
          <w:lang w:val="en"/>
        </w:rPr>
        <w:t xml:space="preserve">Geneva: IPCC.</w:t>
      </w:r>
    </w:p>
    <w:p>
      <w:pPr>
        <w:numPr>
          <w:ilvl w:val="0"/>
          <w:numId w:val="1018"/>
        </w:numPr>
        <w:pStyle w:val="Compact"/>
      </w:pPr>
      <w:r>
        <w:rPr>
          <w:lang w:val="en"/>
        </w:rPr>
        <w:t xml:space="preserve">¶11</w:t>
      </w:r>
      <w:r>
        <w:rPr>
          <w:lang w:val="en"/>
        </w:rPr>
        <w:t xml:space="preserve"> </w:t>
      </w:r>
      <w:r>
        <w:rPr>
          <w:lang w:val="en"/>
        </w:rPr>
        <w:t xml:space="preserve">IPCC (2019).</w:t>
      </w:r>
      <w:r>
        <w:rPr>
          <w:lang w:val="en"/>
        </w:rPr>
        <w:t xml:space="preserve"> </w:t>
      </w:r>
      <w:r>
        <w:rPr>
          <w:iCs/>
          <w:i/>
          <w:lang w:val="en"/>
        </w:rPr>
        <w:t xml:space="preserve">2019 Refinement to the 2006 IPCC Guidelines for National Greenhouse Gas Inventories, Volume 4, Chapter 7: Wetlands.</w:t>
      </w:r>
      <w:r>
        <w:rPr>
          <w:lang w:val="en"/>
        </w:rPr>
        <w:t xml:space="preserve"> </w:t>
      </w:r>
      <w:r>
        <w:rPr>
          <w:lang w:val="en"/>
        </w:rPr>
        <w:t xml:space="preserve">Geneva: IPCC.</w:t>
      </w:r>
    </w:p>
    <w:p>
      <w:pPr>
        <w:numPr>
          <w:ilvl w:val="0"/>
          <w:numId w:val="1018"/>
        </w:numPr>
        <w:pStyle w:val="Compact"/>
      </w:pPr>
      <w:r>
        <w:rPr>
          <w:lang w:val="en"/>
        </w:rPr>
        <w:t xml:space="preserve">¶12</w:t>
      </w:r>
      <w:r>
        <w:rPr>
          <w:lang w:val="en"/>
        </w:rPr>
        <w:t xml:space="preserve"> </w:t>
      </w:r>
      <w:r>
        <w:rPr>
          <w:lang w:val="en"/>
        </w:rPr>
        <w:t xml:space="preserve">GFOI (2025).</w:t>
      </w:r>
      <w:r>
        <w:rPr>
          <w:lang w:val="en"/>
        </w:rPr>
        <w:t xml:space="preserve"> </w:t>
      </w:r>
      <w:r>
        <w:rPr>
          <w:iCs/>
          <w:i/>
          <w:lang w:val="en"/>
        </w:rPr>
        <w:t xml:space="preserve">Blue Carbon Guidance for National Greenhouse Gas Inventories.</w:t>
      </w:r>
      <w:r>
        <w:rPr>
          <w:lang w:val="en"/>
        </w:rPr>
        <w:t xml:space="preserve"> </w:t>
      </w:r>
      <w:r>
        <w:rPr>
          <w:lang w:val="en"/>
        </w:rPr>
        <w:t xml:space="preserve">Rome: FAO/Global Forest Observations Initiative.</w:t>
      </w:r>
    </w:p>
    <w:p>
      <w:pPr>
        <w:numPr>
          <w:ilvl w:val="0"/>
          <w:numId w:val="1018"/>
        </w:numPr>
        <w:pStyle w:val="Compact"/>
      </w:pPr>
      <w:r>
        <w:rPr>
          <w:lang w:val="en"/>
        </w:rPr>
        <w:t xml:space="preserve">¶13</w:t>
      </w:r>
      <w:r>
        <w:rPr>
          <w:lang w:val="en"/>
        </w:rPr>
        <w:t xml:space="preserve"> </w:t>
      </w:r>
      <w:r>
        <w:rPr>
          <w:lang w:val="en"/>
        </w:rPr>
        <w:t xml:space="preserve">Blue Carbon Partnership (2021).</w:t>
      </w:r>
      <w:r>
        <w:rPr>
          <w:lang w:val="en"/>
        </w:rPr>
        <w:t xml:space="preserve"> </w:t>
      </w:r>
      <w:r>
        <w:rPr>
          <w:iCs/>
          <w:i/>
          <w:lang w:val="en"/>
        </w:rPr>
        <w:t xml:space="preserve">Coastal Wetlands in National Greenhouse Gas Inventories.</w:t>
      </w:r>
    </w:p>
    <w:p>
      <w:pPr>
        <w:pStyle w:val="FirstParagraph"/>
      </w:pPr>
      <w:r>
        <w:rPr>
          <w:lang w:val="en"/>
        </w:rPr>
        <w:t xml:space="preserve">¶14</w:t>
      </w:r>
      <w:r>
        <w:rPr>
          <w:lang w:val="en"/>
        </w:rPr>
        <w:t xml:space="preserve"> </w:t>
      </w:r>
      <w:r>
        <w:rPr>
          <w:bCs/>
          <w:b/>
          <w:lang w:val="en"/>
        </w:rPr>
        <w:t xml:space="preserve">Ecosystem classification and extent:</w:t>
      </w:r>
    </w:p>
    <w:p>
      <w:pPr>
        <w:numPr>
          <w:ilvl w:val="0"/>
          <w:numId w:val="1019"/>
        </w:numPr>
        <w:pStyle w:val="Compact"/>
      </w:pPr>
      <w:r>
        <w:rPr>
          <w:lang w:val="en"/>
        </w:rPr>
        <w:t xml:space="preserve">¶15</w:t>
      </w:r>
      <w:r>
        <w:rPr>
          <w:lang w:val="en"/>
        </w:rPr>
        <w:t xml:space="preserve"> </w:t>
      </w:r>
      <w:r>
        <w:rPr>
          <w:lang w:val="en"/>
        </w:rPr>
        <w:t xml:space="preserve">IUCN (2020).</w:t>
      </w:r>
      <w:r>
        <w:rPr>
          <w:lang w:val="en"/>
        </w:rPr>
        <w:t xml:space="preserve"> </w:t>
      </w:r>
      <w:r>
        <w:rPr>
          <w:iCs/>
          <w:i/>
          <w:lang w:val="en"/>
        </w:rPr>
        <w:t xml:space="preserve">Global Ecosystem Typology 2.0.</w:t>
      </w:r>
      <w:r>
        <w:rPr>
          <w:lang w:val="en"/>
        </w:rPr>
        <w:t xml:space="preserve"> </w:t>
      </w:r>
      <w:r>
        <w:rPr>
          <w:lang w:val="en"/>
        </w:rPr>
        <w:t xml:space="preserve">Biome MFT1 Brackish Tidal Systems. Gland: IUCN.</w:t>
      </w:r>
    </w:p>
    <w:p>
      <w:pPr>
        <w:numPr>
          <w:ilvl w:val="0"/>
          <w:numId w:val="1019"/>
        </w:numPr>
        <w:pStyle w:val="Compact"/>
      </w:pPr>
      <w:r>
        <w:rPr>
          <w:lang w:val="en"/>
        </w:rPr>
        <w:t xml:space="preserve">¶16</w:t>
      </w:r>
      <w:r>
        <w:rPr>
          <w:lang w:val="en"/>
        </w:rPr>
        <w:t xml:space="preserve"> </w:t>
      </w:r>
      <w:r>
        <w:rPr>
          <w:lang w:val="en"/>
        </w:rPr>
        <w:t xml:space="preserve">Bunting, P., et al. (2018). “The Global Mangrove Watch — A New 2010 Global Baseline.”</w:t>
      </w:r>
      <w:r>
        <w:rPr>
          <w:lang w:val="en"/>
        </w:rPr>
        <w:t xml:space="preserve"> </w:t>
      </w:r>
      <w:r>
        <w:rPr>
          <w:iCs/>
          <w:i/>
          <w:lang w:val="en"/>
        </w:rPr>
        <w:t xml:space="preserve">Remote Sensing</w:t>
      </w:r>
      <w:r>
        <w:rPr>
          <w:lang w:val="en"/>
        </w:rPr>
        <w:t xml:space="preserve">, 10(10), 1669.</w:t>
      </w:r>
    </w:p>
    <w:p>
      <w:pPr>
        <w:numPr>
          <w:ilvl w:val="0"/>
          <w:numId w:val="1019"/>
        </w:numPr>
        <w:pStyle w:val="Compact"/>
      </w:pPr>
      <w:r>
        <w:rPr>
          <w:lang w:val="en"/>
        </w:rPr>
        <w:t xml:space="preserve">¶17</w:t>
      </w:r>
      <w:r>
        <w:rPr>
          <w:lang w:val="en"/>
        </w:rPr>
        <w:t xml:space="preserve"> </w:t>
      </w:r>
      <w:r>
        <w:rPr>
          <w:lang w:val="en"/>
        </w:rPr>
        <w:t xml:space="preserve">Murray, N.J., et al. (2019).</w:t>
      </w:r>
      <w:r>
        <w:rPr>
          <w:lang w:val="en"/>
        </w:rPr>
        <w:t xml:space="preserve"> </w:t>
      </w:r>
      <w:r>
        <w:rPr>
          <w:iCs/>
          <w:i/>
          <w:lang w:val="en"/>
        </w:rPr>
        <w:t xml:space="preserve">Global Tidal Wetland Change Dataset.</w:t>
      </w:r>
      <w:r>
        <w:rPr>
          <w:lang w:val="en"/>
        </w:rPr>
        <w:t xml:space="preserve"> </w:t>
      </w:r>
      <w:r>
        <w:rPr>
          <w:lang w:val="en"/>
        </w:rPr>
        <w:t xml:space="preserve">Nature Scientific Data.</w:t>
      </w:r>
    </w:p>
    <w:p>
      <w:pPr>
        <w:pStyle w:val="FirstParagraph"/>
      </w:pPr>
      <w:r>
        <w:rPr>
          <w:lang w:val="en"/>
        </w:rPr>
        <w:t xml:space="preserve">¶18</w:t>
      </w:r>
      <w:r>
        <w:rPr>
          <w:lang w:val="en"/>
        </w:rPr>
        <w:t xml:space="preserve"> </w:t>
      </w:r>
      <w:r>
        <w:rPr>
          <w:bCs/>
          <w:b/>
          <w:lang w:val="en"/>
        </w:rPr>
        <w:t xml:space="preserve">Field methods and blue carbon measurement:</w:t>
      </w:r>
    </w:p>
    <w:p>
      <w:pPr>
        <w:numPr>
          <w:ilvl w:val="0"/>
          <w:numId w:val="1020"/>
        </w:numPr>
        <w:pStyle w:val="Compact"/>
      </w:pPr>
      <w:r>
        <w:rPr>
          <w:lang w:val="en"/>
        </w:rPr>
        <w:t xml:space="preserve">¶19</w:t>
      </w:r>
      <w:r>
        <w:rPr>
          <w:lang w:val="en"/>
        </w:rPr>
        <w:t xml:space="preserve"> </w:t>
      </w:r>
      <w:r>
        <w:rPr>
          <w:lang w:val="en"/>
        </w:rPr>
        <w:t xml:space="preserve">Howard, J., Hoyt, S., Isensee, K., Telszewski, M., &amp; Pidgeon, E. (eds.) (2014).</w:t>
      </w:r>
      <w:r>
        <w:rPr>
          <w:lang w:val="en"/>
        </w:rPr>
        <w:t xml:space="preserve"> </w:t>
      </w:r>
      <w:r>
        <w:rPr>
          <w:iCs/>
          <w:i/>
          <w:lang w:val="en"/>
        </w:rPr>
        <w:t xml:space="preserve">Coastal Blue Carbon: Methods for Assessing Carbon Stocks and Emissions Factors in Mangroves, Tidal Salt Marshes, and Seagrass Meadows.</w:t>
      </w:r>
      <w:r>
        <w:rPr>
          <w:lang w:val="en"/>
        </w:rPr>
        <w:t xml:space="preserve"> </w:t>
      </w:r>
      <w:r>
        <w:rPr>
          <w:lang w:val="en"/>
        </w:rPr>
        <w:t xml:space="preserve">Arlington: Conservation International, IOC-UNESCO, IUCN.</w:t>
      </w:r>
    </w:p>
    <w:p>
      <w:pPr>
        <w:numPr>
          <w:ilvl w:val="0"/>
          <w:numId w:val="1020"/>
        </w:numPr>
        <w:pStyle w:val="Compact"/>
      </w:pPr>
      <w:r>
        <w:rPr>
          <w:lang w:val="en"/>
        </w:rPr>
        <w:t xml:space="preserve">¶20</w:t>
      </w:r>
      <w:r>
        <w:rPr>
          <w:lang w:val="en"/>
        </w:rPr>
        <w:t xml:space="preserve"> </w:t>
      </w:r>
      <w:r>
        <w:rPr>
          <w:lang w:val="en"/>
        </w:rPr>
        <w:t xml:space="preserve">Kauffman, J.B., &amp; Donato, D.C. (2012).</w:t>
      </w:r>
      <w:r>
        <w:rPr>
          <w:lang w:val="en"/>
        </w:rPr>
        <w:t xml:space="preserve"> </w:t>
      </w:r>
      <w:r>
        <w:rPr>
          <w:iCs/>
          <w:i/>
          <w:lang w:val="en"/>
        </w:rPr>
        <w:t xml:space="preserve">Protocols for the measurement, monitoring and reporting of structure, biomass and carbon stocks in mangrove forests.</w:t>
      </w:r>
      <w:r>
        <w:rPr>
          <w:lang w:val="en"/>
        </w:rPr>
        <w:t xml:space="preserve"> </w:t>
      </w:r>
      <w:r>
        <w:rPr>
          <w:lang w:val="en"/>
        </w:rPr>
        <w:t xml:space="preserve">Working Paper 86. Bogor: CIFOR. DOI: 10.17528/cifor/003749.</w:t>
      </w:r>
    </w:p>
    <w:p>
      <w:pPr>
        <w:numPr>
          <w:ilvl w:val="0"/>
          <w:numId w:val="1020"/>
        </w:numPr>
        <w:pStyle w:val="Compact"/>
      </w:pPr>
      <w:r>
        <w:rPr>
          <w:lang w:val="en"/>
        </w:rPr>
        <w:t xml:space="preserve">¶21</w:t>
      </w:r>
      <w:r>
        <w:rPr>
          <w:lang w:val="en"/>
        </w:rPr>
        <w:t xml:space="preserve"> </w:t>
      </w:r>
      <w:r>
        <w:rPr>
          <w:lang w:val="en"/>
        </w:rPr>
        <w:t xml:space="preserve">Kauffman, J.B., et al. (2016).</w:t>
      </w:r>
      <w:r>
        <w:rPr>
          <w:lang w:val="en"/>
        </w:rPr>
        <w:t xml:space="preserve"> </w:t>
      </w:r>
      <w:r>
        <w:rPr>
          <w:iCs/>
          <w:i/>
          <w:lang w:val="en"/>
        </w:rPr>
        <w:t xml:space="preserve">Protocols for the measurement, monitoring and reporting of structure, biomass, carbon stocks and greenhouse gas emissions in tropical peat swamp forests.</w:t>
      </w:r>
      <w:r>
        <w:rPr>
          <w:lang w:val="en"/>
        </w:rPr>
        <w:t xml:space="preserve"> </w:t>
      </w:r>
      <w:r>
        <w:rPr>
          <w:lang w:val="en"/>
        </w:rPr>
        <w:t xml:space="preserve">PSW-GTR-373. Pacific Southwest Research Station: USFS.</w:t>
      </w:r>
    </w:p>
    <w:p>
      <w:pPr>
        <w:numPr>
          <w:ilvl w:val="0"/>
          <w:numId w:val="1020"/>
        </w:numPr>
        <w:pStyle w:val="Compact"/>
      </w:pPr>
      <w:r>
        <w:rPr>
          <w:lang w:val="en"/>
        </w:rPr>
        <w:t xml:space="preserve">¶22</w:t>
      </w:r>
      <w:r>
        <w:rPr>
          <w:lang w:val="en"/>
        </w:rPr>
        <w:t xml:space="preserve"> </w:t>
      </w:r>
      <w:r>
        <w:rPr>
          <w:lang w:val="en"/>
        </w:rPr>
        <w:t xml:space="preserve">Kauffman, J.B., et al. (2011). “Ecosystem carbon stocks of Micronesian mangrove forests.”</w:t>
      </w:r>
      <w:r>
        <w:rPr>
          <w:lang w:val="en"/>
        </w:rPr>
        <w:t xml:space="preserve"> </w:t>
      </w:r>
      <w:r>
        <w:rPr>
          <w:iCs/>
          <w:i/>
          <w:lang w:val="en"/>
        </w:rPr>
        <w:t xml:space="preserve">Wetlands</w:t>
      </w:r>
      <w:r>
        <w:rPr>
          <w:lang w:val="en"/>
        </w:rPr>
        <w:t xml:space="preserve">, 31(2), 343-352.</w:t>
      </w:r>
    </w:p>
    <w:p>
      <w:pPr>
        <w:numPr>
          <w:ilvl w:val="0"/>
          <w:numId w:val="1020"/>
        </w:numPr>
        <w:pStyle w:val="Compact"/>
      </w:pPr>
      <w:r>
        <w:rPr>
          <w:lang w:val="en"/>
        </w:rPr>
        <w:t xml:space="preserve">¶23</w:t>
      </w:r>
      <w:r>
        <w:rPr>
          <w:lang w:val="en"/>
        </w:rPr>
        <w:t xml:space="preserve"> </w:t>
      </w:r>
      <w:r>
        <w:rPr>
          <w:lang w:val="en"/>
        </w:rPr>
        <w:t xml:space="preserve">Lewis, R.R. (2005). “Ecological engineering for successful management and restoration of mangrove forests.”</w:t>
      </w:r>
      <w:r>
        <w:rPr>
          <w:lang w:val="en"/>
        </w:rPr>
        <w:t xml:space="preserve"> </w:t>
      </w:r>
      <w:r>
        <w:rPr>
          <w:iCs/>
          <w:i/>
          <w:lang w:val="en"/>
        </w:rPr>
        <w:t xml:space="preserve">Ecological Engineering</w:t>
      </w:r>
      <w:r>
        <w:rPr>
          <w:lang w:val="en"/>
        </w:rPr>
        <w:t xml:space="preserve">, 24(4), 403-418.</w:t>
      </w:r>
    </w:p>
    <w:p>
      <w:pPr>
        <w:numPr>
          <w:ilvl w:val="0"/>
          <w:numId w:val="1020"/>
        </w:numPr>
        <w:pStyle w:val="Compact"/>
      </w:pPr>
      <w:r>
        <w:rPr>
          <w:lang w:val="en"/>
        </w:rPr>
        <w:t xml:space="preserve">¶24</w:t>
      </w:r>
      <w:r>
        <w:rPr>
          <w:lang w:val="en"/>
        </w:rPr>
        <w:t xml:space="preserve"> </w:t>
      </w:r>
      <w:r>
        <w:rPr>
          <w:lang w:val="en"/>
        </w:rPr>
        <w:t xml:space="preserve">Kodikara, K.A.S., et al. (2017). “Have mangrove restoration projects worked? An in-depth study in Sri Lanka.”</w:t>
      </w:r>
      <w:r>
        <w:rPr>
          <w:lang w:val="en"/>
        </w:rPr>
        <w:t xml:space="preserve"> </w:t>
      </w:r>
      <w:r>
        <w:rPr>
          <w:iCs/>
          <w:i/>
          <w:lang w:val="en"/>
        </w:rPr>
        <w:t xml:space="preserve">Restoration Ecology</w:t>
      </w:r>
      <w:r>
        <w:rPr>
          <w:lang w:val="en"/>
        </w:rPr>
        <w:t xml:space="preserve">, 25(5), 705-716.</w:t>
      </w:r>
    </w:p>
    <w:p>
      <w:pPr>
        <w:numPr>
          <w:ilvl w:val="0"/>
          <w:numId w:val="1020"/>
        </w:numPr>
        <w:pStyle w:val="Compact"/>
      </w:pPr>
      <w:r>
        <w:rPr>
          <w:lang w:val="en"/>
        </w:rPr>
        <w:t xml:space="preserve">¶25</w:t>
      </w:r>
      <w:r>
        <w:rPr>
          <w:lang w:val="en"/>
        </w:rPr>
        <w:t xml:space="preserve"> </w:t>
      </w:r>
      <w:r>
        <w:rPr>
          <w:lang w:val="en"/>
        </w:rPr>
        <w:t xml:space="preserve">Nelson, D.W., &amp; Sommers, L.E. (1996). “Total carbon, organic carbon, and organic matter.” In</w:t>
      </w:r>
      <w:r>
        <w:rPr>
          <w:lang w:val="en"/>
        </w:rPr>
        <w:t xml:space="preserve"> </w:t>
      </w:r>
      <w:r>
        <w:rPr>
          <w:iCs/>
          <w:i/>
          <w:lang w:val="en"/>
        </w:rPr>
        <w:t xml:space="preserve">Methods of Soil Analysis Part 3: Chemical Methods.</w:t>
      </w:r>
      <w:r>
        <w:rPr>
          <w:lang w:val="en"/>
        </w:rPr>
        <w:t xml:space="preserve"> </w:t>
      </w:r>
      <w:r>
        <w:rPr>
          <w:lang w:val="en"/>
        </w:rPr>
        <w:t xml:space="preserve">Madison: SSSA.</w:t>
      </w:r>
    </w:p>
    <w:p>
      <w:pPr>
        <w:numPr>
          <w:ilvl w:val="0"/>
          <w:numId w:val="1020"/>
        </w:numPr>
        <w:pStyle w:val="Compact"/>
      </w:pPr>
      <w:r>
        <w:rPr>
          <w:lang w:val="en"/>
        </w:rPr>
        <w:t xml:space="preserve">¶26</w:t>
      </w:r>
      <w:r>
        <w:rPr>
          <w:lang w:val="en"/>
        </w:rPr>
        <w:t xml:space="preserve"> </w:t>
      </w:r>
      <w:r>
        <w:rPr>
          <w:lang w:val="en"/>
        </w:rPr>
        <w:t xml:space="preserve">Chapin, F.S., et al. (2006). “Reconciling carbon-cycle concepts, terminology, and methods.”</w:t>
      </w:r>
      <w:r>
        <w:rPr>
          <w:lang w:val="en"/>
        </w:rPr>
        <w:t xml:space="preserve"> </w:t>
      </w:r>
      <w:r>
        <w:rPr>
          <w:iCs/>
          <w:i/>
          <w:lang w:val="en"/>
        </w:rPr>
        <w:t xml:space="preserve">Ecosystems</w:t>
      </w:r>
      <w:r>
        <w:rPr>
          <w:lang w:val="en"/>
        </w:rPr>
        <w:t xml:space="preserve">, 9(7), 1041-1050.</w:t>
      </w:r>
    </w:p>
    <w:p>
      <w:pPr>
        <w:numPr>
          <w:ilvl w:val="0"/>
          <w:numId w:val="1020"/>
        </w:numPr>
        <w:pStyle w:val="Compact"/>
      </w:pPr>
      <w:r>
        <w:rPr>
          <w:lang w:val="en"/>
        </w:rPr>
        <w:t xml:space="preserve">¶27</w:t>
      </w:r>
      <w:r>
        <w:rPr>
          <w:lang w:val="en"/>
        </w:rPr>
        <w:t xml:space="preserve"> </w:t>
      </w:r>
      <w:r>
        <w:rPr>
          <w:lang w:val="en"/>
        </w:rPr>
        <w:t xml:space="preserve">Komiyama, A., Poungparn, S., &amp; Kato, S. (2005). “Common allometric equations for estimating the tree weight of mangroves.”</w:t>
      </w:r>
      <w:r>
        <w:rPr>
          <w:lang w:val="en"/>
        </w:rPr>
        <w:t xml:space="preserve"> </w:t>
      </w:r>
      <w:r>
        <w:rPr>
          <w:iCs/>
          <w:i/>
          <w:lang w:val="en"/>
        </w:rPr>
        <w:t xml:space="preserve">Journal of Tropical Ecology</w:t>
      </w:r>
      <w:r>
        <w:rPr>
          <w:lang w:val="en"/>
        </w:rPr>
        <w:t xml:space="preserve">, 21(4), 471-477.</w:t>
      </w:r>
    </w:p>
    <w:p>
      <w:pPr>
        <w:numPr>
          <w:ilvl w:val="0"/>
          <w:numId w:val="1020"/>
        </w:numPr>
        <w:pStyle w:val="Compact"/>
      </w:pPr>
      <w:r>
        <w:rPr>
          <w:lang w:val="en"/>
        </w:rPr>
        <w:t xml:space="preserve">¶28</w:t>
      </w:r>
      <w:r>
        <w:rPr>
          <w:lang w:val="en"/>
        </w:rPr>
        <w:t xml:space="preserve"> </w:t>
      </w:r>
      <w:r>
        <w:rPr>
          <w:lang w:val="en"/>
        </w:rPr>
        <w:t xml:space="preserve">Komiyama, A., Ong, J.E., &amp; Poungparn, S. (2008). “Allometry, biomass, and productivity of mangrove forests: a review.”</w:t>
      </w:r>
      <w:r>
        <w:rPr>
          <w:lang w:val="en"/>
        </w:rPr>
        <w:t xml:space="preserve"> </w:t>
      </w:r>
      <w:r>
        <w:rPr>
          <w:iCs/>
          <w:i/>
          <w:lang w:val="en"/>
        </w:rPr>
        <w:t xml:space="preserve">Aquatic Botany</w:t>
      </w:r>
      <w:r>
        <w:rPr>
          <w:lang w:val="en"/>
        </w:rPr>
        <w:t xml:space="preserve">, 89(2), 128-137.</w:t>
      </w:r>
    </w:p>
    <w:p>
      <w:pPr>
        <w:numPr>
          <w:ilvl w:val="0"/>
          <w:numId w:val="1020"/>
        </w:numPr>
        <w:pStyle w:val="Compact"/>
      </w:pPr>
      <w:r>
        <w:rPr>
          <w:lang w:val="en"/>
        </w:rPr>
        <w:t xml:space="preserve">¶29</w:t>
      </w:r>
      <w:r>
        <w:rPr>
          <w:lang w:val="en"/>
        </w:rPr>
        <w:t xml:space="preserve"> </w:t>
      </w:r>
      <w:r>
        <w:rPr>
          <w:lang w:val="en"/>
        </w:rPr>
        <w:t xml:space="preserve">Arias-Ortiz, A., et al. (2018). “210Pb-derived sediment and carbon accumulation rates in vegetated coastal ecosystems.”</w:t>
      </w:r>
      <w:r>
        <w:rPr>
          <w:lang w:val="en"/>
        </w:rPr>
        <w:t xml:space="preserve"> </w:t>
      </w:r>
      <w:r>
        <w:rPr>
          <w:iCs/>
          <w:i/>
          <w:lang w:val="en"/>
        </w:rPr>
        <w:t xml:space="preserve">Biogeosciences</w:t>
      </w:r>
      <w:r>
        <w:rPr>
          <w:lang w:val="en"/>
        </w:rPr>
        <w:t xml:space="preserve">, 15, 6791-6818.</w:t>
      </w:r>
    </w:p>
    <w:p>
      <w:pPr>
        <w:numPr>
          <w:ilvl w:val="0"/>
          <w:numId w:val="1020"/>
        </w:numPr>
        <w:pStyle w:val="Compact"/>
      </w:pPr>
      <w:r>
        <w:rPr>
          <w:lang w:val="en"/>
        </w:rPr>
        <w:t xml:space="preserve">¶30</w:t>
      </w:r>
      <w:r>
        <w:rPr>
          <w:lang w:val="en"/>
        </w:rPr>
        <w:t xml:space="preserve"> </w:t>
      </w:r>
      <w:r>
        <w:rPr>
          <w:lang w:val="en"/>
        </w:rPr>
        <w:t xml:space="preserve">Cahoon, D.R., et al. (1995). “Accretion and canal impacts in a rapidly subsiding wetland II — Feldspar marker horizon technique.”</w:t>
      </w:r>
      <w:r>
        <w:rPr>
          <w:lang w:val="en"/>
        </w:rPr>
        <w:t xml:space="preserve"> </w:t>
      </w:r>
      <w:r>
        <w:rPr>
          <w:iCs/>
          <w:i/>
          <w:lang w:val="en"/>
        </w:rPr>
        <w:t xml:space="preserve">Estuaries</w:t>
      </w:r>
      <w:r>
        <w:rPr>
          <w:lang w:val="en"/>
        </w:rPr>
        <w:t xml:space="preserve">, 18(3), 490-497.</w:t>
      </w:r>
    </w:p>
    <w:p>
      <w:pPr>
        <w:numPr>
          <w:ilvl w:val="0"/>
          <w:numId w:val="1020"/>
        </w:numPr>
        <w:pStyle w:val="Compact"/>
      </w:pPr>
      <w:r>
        <w:rPr>
          <w:lang w:val="en"/>
        </w:rPr>
        <w:t xml:space="preserve">¶31</w:t>
      </w:r>
      <w:r>
        <w:rPr>
          <w:lang w:val="en"/>
        </w:rPr>
        <w:t xml:space="preserve"> </w:t>
      </w:r>
      <w:r>
        <w:rPr>
          <w:lang w:val="en"/>
        </w:rPr>
        <w:t xml:space="preserve">Piñeiro-Juncal, N., Leiva-Dueñas, C., &amp; Serrano, O. (2023). “How to quantify blue carbon sequestration rates in seagrass meadow sediment.”</w:t>
      </w:r>
      <w:r>
        <w:rPr>
          <w:lang w:val="en"/>
        </w:rPr>
        <w:t xml:space="preserve"> </w:t>
      </w:r>
      <w:r>
        <w:rPr>
          <w:iCs/>
          <w:i/>
          <w:lang w:val="en"/>
        </w:rPr>
        <w:t xml:space="preserve">Carbon Footprints.</w:t>
      </w:r>
    </w:p>
    <w:p>
      <w:pPr>
        <w:numPr>
          <w:ilvl w:val="0"/>
          <w:numId w:val="1020"/>
        </w:numPr>
        <w:pStyle w:val="Compact"/>
      </w:pPr>
      <w:r>
        <w:rPr>
          <w:lang w:val="en"/>
        </w:rPr>
        <w:t xml:space="preserve">¶32</w:t>
      </w:r>
      <w:r>
        <w:rPr>
          <w:lang w:val="en"/>
        </w:rPr>
        <w:t xml:space="preserve"> </w:t>
      </w:r>
      <w:r>
        <w:rPr>
          <w:lang w:val="en"/>
        </w:rPr>
        <w:t xml:space="preserve">Murdiyarso, D., et al. (2023). “Deriving emission factors for mangrove blue carbon ecosystem in Indonesia.”</w:t>
      </w:r>
      <w:r>
        <w:rPr>
          <w:lang w:val="en"/>
        </w:rPr>
        <w:t xml:space="preserve"> </w:t>
      </w:r>
      <w:r>
        <w:rPr>
          <w:iCs/>
          <w:i/>
          <w:lang w:val="en"/>
        </w:rPr>
        <w:t xml:space="preserve">Carbon Balance and Management</w:t>
      </w:r>
      <w:r>
        <w:rPr>
          <w:lang w:val="en"/>
        </w:rPr>
        <w:t xml:space="preserve">, 18, 11.</w:t>
      </w:r>
    </w:p>
    <w:p>
      <w:pPr>
        <w:pStyle w:val="FirstParagraph"/>
      </w:pPr>
      <w:r>
        <w:rPr>
          <w:lang w:val="en"/>
        </w:rPr>
        <w:t xml:space="preserve">¶33</w:t>
      </w:r>
      <w:r>
        <w:rPr>
          <w:lang w:val="en"/>
        </w:rPr>
        <w:t xml:space="preserve"> </w:t>
      </w:r>
      <w:r>
        <w:rPr>
          <w:bCs/>
          <w:b/>
          <w:lang w:val="en"/>
        </w:rPr>
        <w:t xml:space="preserve">Allometric equations:</w:t>
      </w:r>
    </w:p>
    <w:p>
      <w:pPr>
        <w:numPr>
          <w:ilvl w:val="0"/>
          <w:numId w:val="1021"/>
        </w:numPr>
        <w:pStyle w:val="Compact"/>
      </w:pPr>
      <w:r>
        <w:rPr>
          <w:lang w:val="en"/>
        </w:rPr>
        <w:t xml:space="preserve">¶34</w:t>
      </w:r>
      <w:r>
        <w:rPr>
          <w:lang w:val="en"/>
        </w:rPr>
        <w:t xml:space="preserve"> </w:t>
      </w:r>
      <w:r>
        <w:rPr>
          <w:lang w:val="en"/>
        </w:rPr>
        <w:t xml:space="preserve">Price, J.P., et al. (2024). “Global Data Compilation Across Climate Gradients Supports the Use of Common Allometric Equations for Three Transatlantic Mangrove Species.”</w:t>
      </w:r>
      <w:r>
        <w:rPr>
          <w:lang w:val="en"/>
        </w:rPr>
        <w:t xml:space="preserve"> </w:t>
      </w:r>
      <w:r>
        <w:rPr>
          <w:iCs/>
          <w:i/>
          <w:lang w:val="en"/>
        </w:rPr>
        <w:t xml:space="preserve">Ecology and Evolution</w:t>
      </w:r>
      <w:r>
        <w:rPr>
          <w:lang w:val="en"/>
        </w:rPr>
        <w:t xml:space="preserve">, e70577.</w:t>
      </w:r>
    </w:p>
    <w:p>
      <w:pPr>
        <w:numPr>
          <w:ilvl w:val="0"/>
          <w:numId w:val="1021"/>
        </w:numPr>
        <w:pStyle w:val="Compact"/>
      </w:pPr>
      <w:r>
        <w:rPr>
          <w:lang w:val="en"/>
        </w:rPr>
        <w:t xml:space="preserve">¶35</w:t>
      </w:r>
      <w:r>
        <w:rPr>
          <w:lang w:val="en"/>
        </w:rPr>
        <w:t xml:space="preserve"> </w:t>
      </w:r>
      <w:r>
        <w:rPr>
          <w:lang w:val="en"/>
        </w:rPr>
        <w:t xml:space="preserve">Butler, S., et al. (2025). “Allometric Biomass Equations to Quantify Carbon Content of Southeast Australian Saltmarsh Vegetation.”</w:t>
      </w:r>
      <w:r>
        <w:rPr>
          <w:lang w:val="en"/>
        </w:rPr>
        <w:t xml:space="preserve"> </w:t>
      </w:r>
      <w:r>
        <w:rPr>
          <w:iCs/>
          <w:i/>
          <w:lang w:val="en"/>
        </w:rPr>
        <w:t xml:space="preserve">Science of The Total Environment.</w:t>
      </w:r>
    </w:p>
    <w:p>
      <w:pPr>
        <w:numPr>
          <w:ilvl w:val="0"/>
          <w:numId w:val="1021"/>
        </w:numPr>
        <w:pStyle w:val="Compact"/>
      </w:pPr>
      <w:r>
        <w:rPr>
          <w:lang w:val="en"/>
        </w:rPr>
        <w:t xml:space="preserve">¶36</w:t>
      </w:r>
      <w:r>
        <w:rPr>
          <w:lang w:val="en"/>
        </w:rPr>
        <w:t xml:space="preserve"> </w:t>
      </w:r>
      <w:r>
        <w:rPr>
          <w:lang w:val="en"/>
        </w:rPr>
        <w:t xml:space="preserve">Berger, A., et al. (2020). “Variability and uncertainty in forest biomass estimates from different allometric equations.”</w:t>
      </w:r>
      <w:r>
        <w:rPr>
          <w:lang w:val="en"/>
        </w:rPr>
        <w:t xml:space="preserve"> </w:t>
      </w:r>
      <w:r>
        <w:rPr>
          <w:iCs/>
          <w:i/>
          <w:lang w:val="en"/>
        </w:rPr>
        <w:t xml:space="preserve">Carbon Balance and Management</w:t>
      </w:r>
      <w:r>
        <w:rPr>
          <w:lang w:val="en"/>
        </w:rPr>
        <w:t xml:space="preserve">, 15, 8.</w:t>
      </w:r>
    </w:p>
    <w:p>
      <w:pPr>
        <w:pStyle w:val="FirstParagraph"/>
      </w:pPr>
      <w:r>
        <w:rPr>
          <w:lang w:val="en"/>
        </w:rPr>
        <w:t xml:space="preserve">¶37</w:t>
      </w:r>
      <w:r>
        <w:rPr>
          <w:lang w:val="en"/>
        </w:rPr>
        <w:t xml:space="preserve"> </w:t>
      </w:r>
      <w:r>
        <w:rPr>
          <w:bCs/>
          <w:b/>
          <w:lang w:val="en"/>
        </w:rPr>
        <w:t xml:space="preserve">Carbon stocks and biogeography:</w:t>
      </w:r>
    </w:p>
    <w:p>
      <w:pPr>
        <w:numPr>
          <w:ilvl w:val="0"/>
          <w:numId w:val="1022"/>
        </w:numPr>
        <w:pStyle w:val="Compact"/>
      </w:pPr>
      <w:r>
        <w:rPr>
          <w:lang w:val="en"/>
        </w:rPr>
        <w:t xml:space="preserve">¶38</w:t>
      </w:r>
      <w:r>
        <w:rPr>
          <w:lang w:val="en"/>
        </w:rPr>
        <w:t xml:space="preserve"> </w:t>
      </w:r>
      <w:r>
        <w:rPr>
          <w:lang w:val="en"/>
        </w:rPr>
        <w:t xml:space="preserve">Twilley, R.R., Rovai, A.S., &amp; Riul, P. (2018). “Coastal morphology explains global blue carbon distributions.”</w:t>
      </w:r>
      <w:r>
        <w:rPr>
          <w:lang w:val="en"/>
        </w:rPr>
        <w:t xml:space="preserve"> </w:t>
      </w:r>
      <w:r>
        <w:rPr>
          <w:iCs/>
          <w:i/>
          <w:lang w:val="en"/>
        </w:rPr>
        <w:t xml:space="preserve">Nature Communications</w:t>
      </w:r>
      <w:r>
        <w:rPr>
          <w:lang w:val="en"/>
        </w:rPr>
        <w:t xml:space="preserve">, 9, 2997.</w:t>
      </w:r>
    </w:p>
    <w:p>
      <w:pPr>
        <w:numPr>
          <w:ilvl w:val="0"/>
          <w:numId w:val="1022"/>
        </w:numPr>
        <w:pStyle w:val="Compact"/>
      </w:pPr>
      <w:r>
        <w:rPr>
          <w:lang w:val="en"/>
        </w:rPr>
        <w:t xml:space="preserve">¶39</w:t>
      </w:r>
      <w:r>
        <w:rPr>
          <w:lang w:val="en"/>
        </w:rPr>
        <w:t xml:space="preserve"> </w:t>
      </w:r>
      <w:r>
        <w:rPr>
          <w:lang w:val="en"/>
        </w:rPr>
        <w:t xml:space="preserve">Bouillon, S., et al. (2008). “Mangrove production and carbon sinks: A revision of global budget estimates.”</w:t>
      </w:r>
      <w:r>
        <w:rPr>
          <w:lang w:val="en"/>
        </w:rPr>
        <w:t xml:space="preserve"> </w:t>
      </w:r>
      <w:r>
        <w:rPr>
          <w:iCs/>
          <w:i/>
          <w:lang w:val="en"/>
        </w:rPr>
        <w:t xml:space="preserve">Global Biogeochemical Cycles</w:t>
      </w:r>
      <w:r>
        <w:rPr>
          <w:lang w:val="en"/>
        </w:rPr>
        <w:t xml:space="preserve">, 22(2).</w:t>
      </w:r>
    </w:p>
    <w:p>
      <w:pPr>
        <w:numPr>
          <w:ilvl w:val="0"/>
          <w:numId w:val="1022"/>
        </w:numPr>
        <w:pStyle w:val="Compact"/>
      </w:pPr>
      <w:r>
        <w:rPr>
          <w:lang w:val="en"/>
        </w:rPr>
        <w:t xml:space="preserve">¶40</w:t>
      </w:r>
      <w:r>
        <w:rPr>
          <w:lang w:val="en"/>
        </w:rPr>
        <w:t xml:space="preserve"> </w:t>
      </w:r>
      <w:r>
        <w:rPr>
          <w:lang w:val="en"/>
        </w:rPr>
        <w:t xml:space="preserve">Duarte, C.M., et al. (2005). Major role of marine vegetation on the oceanic carbon cycle.</w:t>
      </w:r>
      <w:r>
        <w:rPr>
          <w:lang w:val="en"/>
        </w:rPr>
        <w:t xml:space="preserve"> </w:t>
      </w:r>
      <w:r>
        <w:rPr>
          <w:iCs/>
          <w:i/>
          <w:lang w:val="en"/>
        </w:rPr>
        <w:t xml:space="preserve">Biogeosciences</w:t>
      </w:r>
      <w:r>
        <w:rPr>
          <w:lang w:val="en"/>
        </w:rPr>
        <w:t xml:space="preserve">, 2, 1-8.</w:t>
      </w:r>
    </w:p>
    <w:p>
      <w:pPr>
        <w:numPr>
          <w:ilvl w:val="0"/>
          <w:numId w:val="1022"/>
        </w:numPr>
        <w:pStyle w:val="Compact"/>
      </w:pPr>
      <w:r>
        <w:rPr>
          <w:lang w:val="en"/>
        </w:rPr>
        <w:t xml:space="preserve">¶41</w:t>
      </w:r>
      <w:r>
        <w:rPr>
          <w:lang w:val="en"/>
        </w:rPr>
        <w:t xml:space="preserve"> </w:t>
      </w:r>
      <w:r>
        <w:rPr>
          <w:lang w:val="en"/>
        </w:rPr>
        <w:t xml:space="preserve">Mcleod, E., et al. (2011). “A blueprint for blue carbon.”</w:t>
      </w:r>
      <w:r>
        <w:rPr>
          <w:lang w:val="en"/>
        </w:rPr>
        <w:t xml:space="preserve"> </w:t>
      </w:r>
      <w:r>
        <w:rPr>
          <w:iCs/>
          <w:i/>
          <w:lang w:val="en"/>
        </w:rPr>
        <w:t xml:space="preserve">Frontiers in Ecology and the Environment</w:t>
      </w:r>
      <w:r>
        <w:rPr>
          <w:lang w:val="en"/>
        </w:rPr>
        <w:t xml:space="preserve">, 9(10), 552-560.</w:t>
      </w:r>
    </w:p>
    <w:p>
      <w:pPr>
        <w:numPr>
          <w:ilvl w:val="0"/>
          <w:numId w:val="1022"/>
        </w:numPr>
        <w:pStyle w:val="Compact"/>
      </w:pPr>
      <w:r>
        <w:rPr>
          <w:lang w:val="en"/>
        </w:rPr>
        <w:t xml:space="preserve">¶42</w:t>
      </w:r>
      <w:r>
        <w:rPr>
          <w:lang w:val="en"/>
        </w:rPr>
        <w:t xml:space="preserve"> </w:t>
      </w:r>
      <w:r>
        <w:rPr>
          <w:lang w:val="en"/>
        </w:rPr>
        <w:t xml:space="preserve">Chmura, G.L., et al. (2003). “Global carbon sequestration in tidal, saline wetland soils.”</w:t>
      </w:r>
      <w:r>
        <w:rPr>
          <w:lang w:val="en"/>
        </w:rPr>
        <w:t xml:space="preserve"> </w:t>
      </w:r>
      <w:r>
        <w:rPr>
          <w:iCs/>
          <w:i/>
          <w:lang w:val="en"/>
        </w:rPr>
        <w:t xml:space="preserve">Global Biogeochemical Cycles</w:t>
      </w:r>
      <w:r>
        <w:rPr>
          <w:lang w:val="en"/>
        </w:rPr>
        <w:t xml:space="preserve">, 17(4).</w:t>
      </w:r>
    </w:p>
    <w:p>
      <w:pPr>
        <w:numPr>
          <w:ilvl w:val="0"/>
          <w:numId w:val="1022"/>
        </w:numPr>
        <w:pStyle w:val="Compact"/>
      </w:pPr>
      <w:r>
        <w:rPr>
          <w:lang w:val="en"/>
        </w:rPr>
        <w:t xml:space="preserve">¶43</w:t>
      </w:r>
      <w:r>
        <w:rPr>
          <w:lang w:val="en"/>
        </w:rPr>
        <w:t xml:space="preserve"> </w:t>
      </w:r>
      <w:r>
        <w:rPr>
          <w:lang w:val="en"/>
        </w:rPr>
        <w:t xml:space="preserve">Bertram, C., et al. (2021). “The blue carbon wealth of nations.”</w:t>
      </w:r>
      <w:r>
        <w:rPr>
          <w:lang w:val="en"/>
        </w:rPr>
        <w:t xml:space="preserve"> </w:t>
      </w:r>
      <w:r>
        <w:rPr>
          <w:iCs/>
          <w:i/>
          <w:lang w:val="en"/>
        </w:rPr>
        <w:t xml:space="preserve">Nature Climate Change</w:t>
      </w:r>
      <w:r>
        <w:rPr>
          <w:lang w:val="en"/>
        </w:rPr>
        <w:t xml:space="preserve">, 11, 704-710.</w:t>
      </w:r>
    </w:p>
    <w:p>
      <w:pPr>
        <w:numPr>
          <w:ilvl w:val="0"/>
          <w:numId w:val="1022"/>
        </w:numPr>
        <w:pStyle w:val="Compact"/>
      </w:pPr>
      <w:r>
        <w:rPr>
          <w:lang w:val="en"/>
        </w:rPr>
        <w:t xml:space="preserve">¶44</w:t>
      </w:r>
      <w:r>
        <w:rPr>
          <w:lang w:val="en"/>
        </w:rPr>
        <w:t xml:space="preserve"> </w:t>
      </w:r>
      <w:r>
        <w:rPr>
          <w:lang w:val="en"/>
        </w:rPr>
        <w:t xml:space="preserve">Macreadie, P.I., et al. (2025). “Predicting climate mitigation through carbon burial in blue carbon ecosystems — challenges and pitfalls.”</w:t>
      </w:r>
      <w:r>
        <w:rPr>
          <w:lang w:val="en"/>
        </w:rPr>
        <w:t xml:space="preserve"> </w:t>
      </w:r>
      <w:r>
        <w:rPr>
          <w:iCs/>
          <w:i/>
          <w:lang w:val="en"/>
        </w:rPr>
        <w:t xml:space="preserve">Global Change Biology</w:t>
      </w:r>
      <w:r>
        <w:rPr>
          <w:lang w:val="en"/>
        </w:rPr>
        <w:t xml:space="preserve">, 31, e70022.</w:t>
      </w:r>
    </w:p>
    <w:p>
      <w:pPr>
        <w:pStyle w:val="FirstParagraph"/>
      </w:pPr>
      <w:r>
        <w:rPr>
          <w:lang w:val="en"/>
        </w:rPr>
        <w:t xml:space="preserve">¶45</w:t>
      </w:r>
      <w:r>
        <w:rPr>
          <w:lang w:val="en"/>
        </w:rPr>
        <w:t xml:space="preserve"> </w:t>
      </w:r>
      <w:r>
        <w:rPr>
          <w:bCs/>
          <w:b/>
          <w:lang w:val="en"/>
        </w:rPr>
        <w:t xml:space="preserve">Non-CO2 greenhouse gases:</w:t>
      </w:r>
    </w:p>
    <w:p>
      <w:pPr>
        <w:numPr>
          <w:ilvl w:val="0"/>
          <w:numId w:val="1023"/>
        </w:numPr>
        <w:pStyle w:val="Compact"/>
      </w:pPr>
      <w:r>
        <w:rPr>
          <w:lang w:val="en"/>
        </w:rPr>
        <w:t xml:space="preserve">¶46</w:t>
      </w:r>
      <w:r>
        <w:rPr>
          <w:lang w:val="en"/>
        </w:rPr>
        <w:t xml:space="preserve"> </w:t>
      </w:r>
      <w:r>
        <w:rPr>
          <w:lang w:val="en"/>
        </w:rPr>
        <w:t xml:space="preserve">Rosentreter, J.A., et al. (2021). “Methane and Nitrous Oxide Emissions Complicate Coastal Blue Carbon Assessments.”</w:t>
      </w:r>
      <w:r>
        <w:rPr>
          <w:lang w:val="en"/>
        </w:rPr>
        <w:t xml:space="preserve"> </w:t>
      </w:r>
      <w:r>
        <w:rPr>
          <w:iCs/>
          <w:i/>
          <w:lang w:val="en"/>
        </w:rPr>
        <w:t xml:space="preserve">Global Biogeochemical Cycles</w:t>
      </w:r>
      <w:r>
        <w:rPr>
          <w:lang w:val="en"/>
        </w:rPr>
        <w:t xml:space="preserve">, 35(2), e2020GB006858.</w:t>
      </w:r>
    </w:p>
    <w:p>
      <w:pPr>
        <w:numPr>
          <w:ilvl w:val="0"/>
          <w:numId w:val="1023"/>
        </w:numPr>
        <w:pStyle w:val="Compact"/>
      </w:pPr>
      <w:r>
        <w:rPr>
          <w:lang w:val="en"/>
        </w:rPr>
        <w:t xml:space="preserve">¶47</w:t>
      </w:r>
      <w:r>
        <w:rPr>
          <w:lang w:val="en"/>
        </w:rPr>
        <w:t xml:space="preserve"> </w:t>
      </w:r>
      <w:r>
        <w:rPr>
          <w:lang w:val="en"/>
        </w:rPr>
        <w:t xml:space="preserve">Rosentreter, J.A., et al. (2022). “Methane and nitrous oxide emissions complicate the climate benefits of teal and blue carbon wetlands.”</w:t>
      </w:r>
      <w:r>
        <w:rPr>
          <w:lang w:val="en"/>
        </w:rPr>
        <w:t xml:space="preserve"> </w:t>
      </w:r>
      <w:r>
        <w:rPr>
          <w:iCs/>
          <w:i/>
          <w:lang w:val="en"/>
        </w:rPr>
        <w:t xml:space="preserve">One Earth</w:t>
      </w:r>
      <w:r>
        <w:rPr>
          <w:lang w:val="en"/>
        </w:rPr>
        <w:t xml:space="preserve">, 5(12), 1336-1347.</w:t>
      </w:r>
    </w:p>
    <w:p>
      <w:pPr>
        <w:pStyle w:val="FirstParagraph"/>
      </w:pPr>
      <w:r>
        <w:rPr>
          <w:lang w:val="en"/>
        </w:rPr>
        <w:t xml:space="preserve">¶48</w:t>
      </w:r>
      <w:r>
        <w:rPr>
          <w:lang w:val="en"/>
        </w:rPr>
        <w:t xml:space="preserve"> </w:t>
      </w:r>
      <w:r>
        <w:rPr>
          <w:bCs/>
          <w:b/>
          <w:lang w:val="en"/>
        </w:rPr>
        <w:t xml:space="preserve">Carbon markets and financial instruments:</w:t>
      </w:r>
    </w:p>
    <w:p>
      <w:pPr>
        <w:numPr>
          <w:ilvl w:val="0"/>
          <w:numId w:val="1024"/>
        </w:numPr>
        <w:pStyle w:val="Compact"/>
      </w:pPr>
      <w:r>
        <w:rPr>
          <w:lang w:val="en"/>
        </w:rPr>
        <w:t xml:space="preserve">¶49</w:t>
      </w:r>
      <w:r>
        <w:rPr>
          <w:lang w:val="en"/>
        </w:rPr>
        <w:t xml:space="preserve"> </w:t>
      </w:r>
      <w:r>
        <w:rPr>
          <w:lang w:val="en"/>
        </w:rPr>
        <w:t xml:space="preserve">Verra (2018).</w:t>
      </w:r>
      <w:r>
        <w:rPr>
          <w:lang w:val="en"/>
        </w:rPr>
        <w:t xml:space="preserve"> </w:t>
      </w:r>
      <w:r>
        <w:rPr>
          <w:iCs/>
          <w:i/>
          <w:lang w:val="en"/>
        </w:rPr>
        <w:t xml:space="preserve">VM0033 Methodology for Tidal Wetland and Seagrass Restoration</w:t>
      </w:r>
      <w:r>
        <w:rPr>
          <w:lang w:val="en"/>
        </w:rPr>
        <w:t xml:space="preserve">, Version 1.0.</w:t>
      </w:r>
    </w:p>
    <w:p>
      <w:pPr>
        <w:numPr>
          <w:ilvl w:val="0"/>
          <w:numId w:val="1024"/>
        </w:numPr>
        <w:pStyle w:val="Compact"/>
      </w:pPr>
      <w:r>
        <w:rPr>
          <w:lang w:val="en"/>
        </w:rPr>
        <w:t xml:space="preserve">¶50</w:t>
      </w:r>
      <w:r>
        <w:rPr>
          <w:lang w:val="en"/>
        </w:rPr>
        <w:t xml:space="preserve"> </w:t>
      </w:r>
      <w:r>
        <w:rPr>
          <w:lang w:val="en"/>
        </w:rPr>
        <w:t xml:space="preserve">High Level Panel for a Sustainable Ocean Economy (2023).</w:t>
      </w:r>
      <w:r>
        <w:rPr>
          <w:lang w:val="en"/>
        </w:rPr>
        <w:t xml:space="preserve"> </w:t>
      </w:r>
      <w:r>
        <w:rPr>
          <w:iCs/>
          <w:i/>
          <w:lang w:val="en"/>
        </w:rPr>
        <w:t xml:space="preserve">Blue Carbon Handbook.</w:t>
      </w:r>
      <w:r>
        <w:rPr>
          <w:lang w:val="en"/>
        </w:rPr>
        <w:t xml:space="preserve"> </w:t>
      </w:r>
      <w:r>
        <w:rPr>
          <w:lang w:val="en"/>
        </w:rPr>
        <w:t xml:space="preserve">Washington DC: Ocean Panel.</w:t>
      </w:r>
    </w:p>
    <w:p>
      <w:pPr>
        <w:numPr>
          <w:ilvl w:val="0"/>
          <w:numId w:val="1024"/>
        </w:numPr>
        <w:pStyle w:val="Compact"/>
      </w:pPr>
      <w:r>
        <w:rPr>
          <w:lang w:val="en"/>
        </w:rPr>
        <w:t xml:space="preserve">¶51</w:t>
      </w:r>
      <w:r>
        <w:rPr>
          <w:lang w:val="en"/>
        </w:rPr>
        <w:t xml:space="preserve"> </w:t>
      </w:r>
      <w:r>
        <w:rPr>
          <w:lang w:val="en"/>
        </w:rPr>
        <w:t xml:space="preserve">Lim, A.S.L., et al. (2025). “Towards the inclusion of managed macroalgal ecosystems in the IPCC greenhouse gas inventory.”</w:t>
      </w:r>
      <w:r>
        <w:rPr>
          <w:lang w:val="en"/>
        </w:rPr>
        <w:t xml:space="preserve"> </w:t>
      </w:r>
      <w:r>
        <w:rPr>
          <w:iCs/>
          <w:i/>
          <w:lang w:val="en"/>
        </w:rPr>
        <w:t xml:space="preserve">National Science Review</w:t>
      </w:r>
      <w:r>
        <w:rPr>
          <w:lang w:val="en"/>
        </w:rPr>
        <w:t xml:space="preserve">, nwaf391.</w:t>
      </w:r>
    </w:p>
    <w:p>
      <w:pPr>
        <w:pStyle w:val="FirstParagraph"/>
      </w:pPr>
      <w:r>
        <w:rPr>
          <w:lang w:val="en"/>
        </w:rPr>
        <w:t xml:space="preserve">¶52</w:t>
      </w:r>
      <w:r>
        <w:rPr>
          <w:lang w:val="en"/>
        </w:rPr>
        <w:t xml:space="preserve"> </w:t>
      </w:r>
      <w:r>
        <w:rPr>
          <w:bCs/>
          <w:b/>
          <w:lang w:val="en"/>
        </w:rPr>
        <w:t xml:space="preserve">Coastal protection:</w:t>
      </w:r>
    </w:p>
    <w:p>
      <w:pPr>
        <w:numPr>
          <w:ilvl w:val="0"/>
          <w:numId w:val="1025"/>
        </w:numPr>
        <w:pStyle w:val="Compact"/>
      </w:pPr>
      <w:r>
        <w:rPr>
          <w:lang w:val="en"/>
        </w:rPr>
        <w:t xml:space="preserve">¶53</w:t>
      </w:r>
      <w:r>
        <w:rPr>
          <w:lang w:val="en"/>
        </w:rPr>
        <w:t xml:space="preserve"> </w:t>
      </w:r>
      <w:r>
        <w:rPr>
          <w:lang w:val="en"/>
        </w:rPr>
        <w:t xml:space="preserve">World Bank (2016).</w:t>
      </w:r>
      <w:r>
        <w:rPr>
          <w:lang w:val="en"/>
        </w:rPr>
        <w:t xml:space="preserve"> </w:t>
      </w:r>
      <w:r>
        <w:rPr>
          <w:iCs/>
          <w:i/>
          <w:lang w:val="en"/>
        </w:rPr>
        <w:t xml:space="preserve">Managing Coasts with Natural Solutions: Guidelines for Measuring and Valuing the Coastal Protection Services of Mangroves and Coral Reefs.</w:t>
      </w:r>
      <w:r>
        <w:rPr>
          <w:lang w:val="en"/>
        </w:rPr>
        <w:t xml:space="preserve"> </w:t>
      </w:r>
      <w:r>
        <w:rPr>
          <w:lang w:val="en"/>
        </w:rPr>
        <w:t xml:space="preserve">Washington DC: World Bank.</w:t>
      </w:r>
    </w:p>
    <w:p>
      <w:pPr>
        <w:numPr>
          <w:ilvl w:val="0"/>
          <w:numId w:val="1025"/>
        </w:numPr>
        <w:pStyle w:val="Compact"/>
      </w:pPr>
      <w:r>
        <w:rPr>
          <w:lang w:val="en"/>
        </w:rPr>
        <w:t xml:space="preserve">¶54</w:t>
      </w:r>
      <w:r>
        <w:rPr>
          <w:lang w:val="en"/>
        </w:rPr>
        <w:t xml:space="preserve"> </w:t>
      </w:r>
      <w:r>
        <w:rPr>
          <w:lang w:val="en"/>
        </w:rPr>
        <w:t xml:space="preserve">Menendez, P., et al. (2020). “The global flood protection benefits of mangroves.”</w:t>
      </w:r>
      <w:r>
        <w:rPr>
          <w:lang w:val="en"/>
        </w:rPr>
        <w:t xml:space="preserve"> </w:t>
      </w:r>
      <w:r>
        <w:rPr>
          <w:iCs/>
          <w:i/>
          <w:lang w:val="en"/>
        </w:rPr>
        <w:t xml:space="preserve">Scientific Reports</w:t>
      </w:r>
      <w:r>
        <w:rPr>
          <w:lang w:val="en"/>
        </w:rPr>
        <w:t xml:space="preserve">, 10, 4308.</w:t>
      </w:r>
    </w:p>
    <w:p>
      <w:pPr>
        <w:numPr>
          <w:ilvl w:val="0"/>
          <w:numId w:val="1025"/>
        </w:numPr>
        <w:pStyle w:val="Compact"/>
      </w:pPr>
      <w:r>
        <w:rPr>
          <w:lang w:val="en"/>
        </w:rPr>
        <w:t xml:space="preserve">¶55</w:t>
      </w:r>
      <w:r>
        <w:rPr>
          <w:lang w:val="en"/>
        </w:rPr>
        <w:t xml:space="preserve"> </w:t>
      </w:r>
      <w:r>
        <w:rPr>
          <w:lang w:val="en"/>
        </w:rPr>
        <w:t xml:space="preserve">McIvor, A.L., et al. (2012).</w:t>
      </w:r>
      <w:r>
        <w:rPr>
          <w:lang w:val="en"/>
        </w:rPr>
        <w:t xml:space="preserve"> </w:t>
      </w:r>
      <w:r>
        <w:rPr>
          <w:iCs/>
          <w:i/>
          <w:lang w:val="en"/>
        </w:rPr>
        <w:t xml:space="preserve">The Response of Mangrove Soil Surface Elevation to Sea Level Rise.</w:t>
      </w:r>
      <w:r>
        <w:rPr>
          <w:lang w:val="en"/>
        </w:rPr>
        <w:t xml:space="preserve"> </w:t>
      </w:r>
      <w:r>
        <w:rPr>
          <w:lang w:val="en"/>
        </w:rPr>
        <w:t xml:space="preserve">Cambridge: The Nature Conservancy and Wetlands International.</w:t>
      </w:r>
    </w:p>
    <w:p>
      <w:pPr>
        <w:pStyle w:val="FirstParagraph"/>
      </w:pPr>
      <w:r>
        <w:rPr>
          <w:lang w:val="en"/>
        </w:rPr>
        <w:t xml:space="preserve">¶56</w:t>
      </w:r>
      <w:r>
        <w:rPr>
          <w:lang w:val="en"/>
        </w:rPr>
        <w:t xml:space="preserve"> </w:t>
      </w:r>
      <w:r>
        <w:rPr>
          <w:bCs/>
          <w:b/>
          <w:lang w:val="en"/>
        </w:rPr>
        <w:t xml:space="preserve">Nursery habitat services:</w:t>
      </w:r>
    </w:p>
    <w:p>
      <w:pPr>
        <w:numPr>
          <w:ilvl w:val="0"/>
          <w:numId w:val="1026"/>
        </w:numPr>
        <w:pStyle w:val="Compact"/>
      </w:pPr>
      <w:r>
        <w:rPr>
          <w:lang w:val="en"/>
        </w:rPr>
        <w:t xml:space="preserve">¶57</w:t>
      </w:r>
      <w:r>
        <w:rPr>
          <w:lang w:val="en"/>
        </w:rPr>
        <w:t xml:space="preserve"> </w:t>
      </w:r>
      <w:r>
        <w:rPr>
          <w:lang w:val="en"/>
        </w:rPr>
        <w:t xml:space="preserve">Nagelkerken, I., et al. (2008). “The habitat function of mangroves for offshore fish and shellfish populations.”</w:t>
      </w:r>
      <w:r>
        <w:rPr>
          <w:lang w:val="en"/>
        </w:rPr>
        <w:t xml:space="preserve"> </w:t>
      </w:r>
      <w:r>
        <w:rPr>
          <w:iCs/>
          <w:i/>
          <w:lang w:val="en"/>
        </w:rPr>
        <w:t xml:space="preserve">Aquatic Botany</w:t>
      </w:r>
      <w:r>
        <w:rPr>
          <w:lang w:val="en"/>
        </w:rPr>
        <w:t xml:space="preserve">, 89(2), 155-185.</w:t>
      </w:r>
    </w:p>
    <w:p>
      <w:pPr>
        <w:numPr>
          <w:ilvl w:val="0"/>
          <w:numId w:val="1026"/>
        </w:numPr>
        <w:pStyle w:val="Compact"/>
      </w:pPr>
      <w:r>
        <w:rPr>
          <w:lang w:val="en"/>
        </w:rPr>
        <w:t xml:space="preserve">¶58</w:t>
      </w:r>
      <w:r>
        <w:rPr>
          <w:lang w:val="en"/>
        </w:rPr>
        <w:t xml:space="preserve"> </w:t>
      </w:r>
      <w:r>
        <w:rPr>
          <w:lang w:val="en"/>
        </w:rPr>
        <w:t xml:space="preserve">Hutchison, J., et al. (2014). “The role of mangroves in supporting marine fisheries.”</w:t>
      </w:r>
      <w:r>
        <w:rPr>
          <w:lang w:val="en"/>
        </w:rPr>
        <w:t xml:space="preserve"> </w:t>
      </w:r>
      <w:r>
        <w:rPr>
          <w:iCs/>
          <w:i/>
          <w:lang w:val="en"/>
        </w:rPr>
        <w:t xml:space="preserve">PLOS ONE</w:t>
      </w:r>
      <w:r>
        <w:rPr>
          <w:lang w:val="en"/>
        </w:rPr>
        <w:t xml:space="preserve">, 9(10).</w:t>
      </w:r>
    </w:p>
    <w:p>
      <w:pPr>
        <w:numPr>
          <w:ilvl w:val="0"/>
          <w:numId w:val="1026"/>
        </w:numPr>
        <w:pStyle w:val="Compact"/>
      </w:pPr>
      <w:r>
        <w:rPr>
          <w:lang w:val="en"/>
        </w:rPr>
        <w:t xml:space="preserve">¶59</w:t>
      </w:r>
      <w:r>
        <w:rPr>
          <w:lang w:val="en"/>
        </w:rPr>
        <w:t xml:space="preserve"> </w:t>
      </w:r>
      <w:r>
        <w:rPr>
          <w:lang w:val="en"/>
        </w:rPr>
        <w:t xml:space="preserve">Anneboina, L.R., &amp; Kumar, K.S.K. (2017). “Economic analysis of mangrove and marine fishery linkages in India.”</w:t>
      </w:r>
      <w:r>
        <w:rPr>
          <w:lang w:val="en"/>
        </w:rPr>
        <w:t xml:space="preserve"> </w:t>
      </w:r>
      <w:r>
        <w:rPr>
          <w:iCs/>
          <w:i/>
          <w:lang w:val="en"/>
        </w:rPr>
        <w:t xml:space="preserve">Ecosystem Services</w:t>
      </w:r>
      <w:r>
        <w:rPr>
          <w:lang w:val="en"/>
        </w:rPr>
        <w:t xml:space="preserve">, 24, 114-123.</w:t>
      </w:r>
    </w:p>
    <w:p>
      <w:r>
        <w:pict>
          <v:rect style="width:0;height:1.5pt" o:hralign="center" o:hrstd="t" o:hr="t"/>
        </w:pict>
      </w:r>
    </w:p>
    <w:bookmarkStart w:id="212"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2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212"/>
    <w:p>
      <w:pPr>
        <w:numPr>
          <w:ilvl w:val="0"/>
          <w:numId w:val="1027"/>
        </w:numPr>
      </w:pPr>
      <w:bookmarkStart w:id="213" w:name="user-content-fn-2"/>
      <w:r>
        <w:rPr>
          <w:lang w:val="en"/>
        </w:rPr>
        <w:t xml:space="preserve">¶1</w:t>
      </w:r>
      <w:r>
        <w:rPr>
          <w:lang w:val="en"/>
        </w:rPr>
        <w:t xml:space="preserve"> </w:t>
      </w:r>
      <w:bookmarkEnd w:id="213"/>
    </w:p>
    <w:p>
      <w:pPr>
        <w:numPr>
          <w:ilvl w:val="0"/>
          <w:numId w:val="1000"/>
        </w:numPr>
      </w:pPr>
      <w:r>
        <w:rPr>
          <w:lang w:val="en"/>
        </w:rPr>
        <w:t xml:space="preserve">IUCN GET describes the MFT1 Brackish Tidal Systems biome as “associated with prograding depositional shorelines at the interface of terrestrial, freshwater, and marine realms.”</w:t>
      </w:r>
      <w:r>
        <w:rPr>
          <w:lang w:val="en"/>
        </w:rPr>
        <w:t xml:space="preserve"> </w:t>
      </w:r>
      <w:hyperlink w:anchor="user-content-fnref-2">
        <w:r>
          <w:rPr>
            <w:rStyle w:val="Hyperlink"/>
            <w:lang w:val="en"/>
          </w:rPr>
          <w:t xml:space="preserve">↩</w:t>
        </w:r>
      </w:hyperlink>
    </w:p>
    <w:p>
      <w:pPr>
        <w:numPr>
          <w:ilvl w:val="0"/>
          <w:numId w:val="1027"/>
        </w:numPr>
      </w:pPr>
      <w:bookmarkStart w:id="214" w:name="user-content-fn-3"/>
      <w:r>
        <w:rPr>
          <w:lang w:val="en"/>
        </w:rPr>
        <w:t xml:space="preserve">¶2</w:t>
      </w:r>
      <w:r>
        <w:rPr>
          <w:lang w:val="en"/>
        </w:rPr>
        <w:t xml:space="preserve"> </w:t>
      </w:r>
      <w:bookmarkEnd w:id="214"/>
    </w:p>
    <w:p>
      <w:pPr>
        <w:numPr>
          <w:ilvl w:val="0"/>
          <w:numId w:val="1000"/>
        </w:numPr>
      </w:pPr>
      <w:r>
        <w:rPr>
          <w:lang w:val="en"/>
        </w:rPr>
        <w:t xml:space="preserve">IUCN GET, Biome MFT1 description; SEEA EA, Appendix A3.2 presents the IUCN GET reference classification.</w:t>
      </w:r>
      <w:r>
        <w:rPr>
          <w:lang w:val="en"/>
        </w:rPr>
        <w:t xml:space="preserve"> </w:t>
      </w:r>
      <w:hyperlink w:anchor="user-content-fnref-3">
        <w:r>
          <w:rPr>
            <w:rStyle w:val="Hyperlink"/>
            <w:lang w:val="en"/>
          </w:rPr>
          <w:t xml:space="preserve">↩</w:t>
        </w:r>
      </w:hyperlink>
    </w:p>
    <w:p>
      <w:pPr>
        <w:numPr>
          <w:ilvl w:val="0"/>
          <w:numId w:val="1027"/>
        </w:numPr>
      </w:pPr>
      <w:bookmarkStart w:id="215" w:name="user-content-fn-4"/>
      <w:r>
        <w:rPr>
          <w:lang w:val="en"/>
        </w:rPr>
        <w:t xml:space="preserve">¶3</w:t>
      </w:r>
      <w:r>
        <w:rPr>
          <w:lang w:val="en"/>
        </w:rPr>
        <w:t xml:space="preserve"> </w:t>
      </w:r>
      <w:bookmarkEnd w:id="215"/>
    </w:p>
    <w:p>
      <w:pPr>
        <w:numPr>
          <w:ilvl w:val="0"/>
          <w:numId w:val="1000"/>
        </w:numPr>
      </w:pPr>
      <w:r>
        <w:rPr>
          <w:lang w:val="en"/>
        </w:rPr>
        <w:t xml:space="preserve">SEEA EA, para 4.11-4.12 on ecosystem type classification and the relationship between national classifications and the international reference classification.</w:t>
      </w:r>
      <w:r>
        <w:rPr>
          <w:lang w:val="en"/>
        </w:rPr>
        <w:t xml:space="preserve"> </w:t>
      </w:r>
      <w:hyperlink w:anchor="user-content-fnref-4">
        <w:r>
          <w:rPr>
            <w:rStyle w:val="Hyperlink"/>
            <w:lang w:val="en"/>
          </w:rPr>
          <w:t xml:space="preserve">↩</w:t>
        </w:r>
      </w:hyperlink>
    </w:p>
    <w:p>
      <w:pPr>
        <w:numPr>
          <w:ilvl w:val="0"/>
          <w:numId w:val="1027"/>
        </w:numPr>
      </w:pPr>
      <w:bookmarkStart w:id="216" w:name="user-content-fn-1"/>
      <w:r>
        <w:rPr>
          <w:lang w:val="en"/>
        </w:rPr>
        <w:t xml:space="preserve">¶4</w:t>
      </w:r>
      <w:r>
        <w:rPr>
          <w:lang w:val="en"/>
        </w:rPr>
        <w:t xml:space="preserve"> </w:t>
      </w:r>
      <w:bookmarkEnd w:id="216"/>
    </w:p>
    <w:p>
      <w:pPr>
        <w:numPr>
          <w:ilvl w:val="0"/>
          <w:numId w:val="1000"/>
        </w:numPr>
      </w:pPr>
      <w:r>
        <w:rPr>
          <w:lang w:val="en"/>
        </w:rPr>
        <w:t xml:space="preserve">SEEA EA, para 1.1, noting that “ecosystem accounting provides a basis for compiling coherent and systematic data on the biophysical characteristics of ecosystems and their contribution to the economy and society”; see also World Bank (2016) on mangrove values.</w:t>
      </w:r>
      <w:r>
        <w:rPr>
          <w:lang w:val="en"/>
        </w:rPr>
        <w:t xml:space="preserve"> </w:t>
      </w:r>
      <w:hyperlink w:anchor="user-content-fnref-1">
        <w:r>
          <w:rPr>
            <w:rStyle w:val="Hyperlink"/>
            <w:lang w:val="en"/>
          </w:rPr>
          <w:t xml:space="preserve">↩</w:t>
        </w:r>
      </w:hyperlink>
    </w:p>
    <w:p>
      <w:pPr>
        <w:numPr>
          <w:ilvl w:val="0"/>
          <w:numId w:val="1027"/>
        </w:numPr>
      </w:pPr>
      <w:bookmarkStart w:id="217" w:name="user-content-fn-5"/>
      <w:r>
        <w:rPr>
          <w:lang w:val="en"/>
        </w:rPr>
        <w:t xml:space="preserve">¶5</w:t>
      </w:r>
      <w:r>
        <w:rPr>
          <w:lang w:val="en"/>
        </w:rPr>
        <w:t xml:space="preserve"> </w:t>
      </w:r>
      <w:bookmarkEnd w:id="217"/>
    </w:p>
    <w:p>
      <w:pPr>
        <w:numPr>
          <w:ilvl w:val="0"/>
          <w:numId w:val="1000"/>
        </w:numPr>
      </w:pPr>
      <w:r>
        <w:rPr>
          <w:lang w:val="en"/>
        </w:rPr>
        <w:t xml:space="preserve">SEEA EA, para 4.1: “Ecosystem extent is the size of an ecosystem asset. It is usually measured in terms of spatial area.”</w:t>
      </w:r>
      <w:r>
        <w:rPr>
          <w:lang w:val="en"/>
        </w:rPr>
        <w:t xml:space="preserve"> </w:t>
      </w:r>
      <w:hyperlink w:anchor="user-content-fnref-5">
        <w:r>
          <w:rPr>
            <w:rStyle w:val="Hyperlink"/>
            <w:lang w:val="en"/>
          </w:rPr>
          <w:t xml:space="preserve">↩</w:t>
        </w:r>
      </w:hyperlink>
    </w:p>
    <w:p>
      <w:pPr>
        <w:numPr>
          <w:ilvl w:val="0"/>
          <w:numId w:val="1027"/>
        </w:numPr>
      </w:pPr>
      <w:bookmarkStart w:id="218" w:name="user-content-fn-6"/>
      <w:r>
        <w:rPr>
          <w:lang w:val="en"/>
        </w:rPr>
        <w:t xml:space="preserve">¶6</w:t>
      </w:r>
      <w:r>
        <w:rPr>
          <w:lang w:val="en"/>
        </w:rPr>
        <w:t xml:space="preserve"> </w:t>
      </w:r>
      <w:bookmarkEnd w:id="218"/>
    </w:p>
    <w:p>
      <w:pPr>
        <w:numPr>
          <w:ilvl w:val="0"/>
          <w:numId w:val="1000"/>
        </w:numPr>
      </w:pPr>
      <w:r>
        <w:rPr>
          <w:lang w:val="en"/>
        </w:rPr>
        <w:t xml:space="preserve">SEEA EA, para 4.11-4.12 on ecosystem type classification.</w:t>
      </w:r>
      <w:r>
        <w:rPr>
          <w:lang w:val="en"/>
        </w:rPr>
        <w:t xml:space="preserve"> </w:t>
      </w:r>
      <w:hyperlink w:anchor="user-content-fnref-6">
        <w:r>
          <w:rPr>
            <w:rStyle w:val="Hyperlink"/>
            <w:lang w:val="en"/>
          </w:rPr>
          <w:t xml:space="preserve">↩</w:t>
        </w:r>
      </w:hyperlink>
    </w:p>
    <w:p>
      <w:pPr>
        <w:numPr>
          <w:ilvl w:val="0"/>
          <w:numId w:val="1027"/>
        </w:numPr>
      </w:pPr>
      <w:bookmarkStart w:id="219" w:name="user-content-fn-8"/>
      <w:r>
        <w:rPr>
          <w:lang w:val="en"/>
        </w:rPr>
        <w:t xml:space="preserve">¶7</w:t>
      </w:r>
      <w:r>
        <w:rPr>
          <w:lang w:val="en"/>
        </w:rPr>
        <w:t xml:space="preserve"> </w:t>
      </w:r>
      <w:bookmarkEnd w:id="219"/>
    </w:p>
    <w:p>
      <w:pPr>
        <w:numPr>
          <w:ilvl w:val="0"/>
          <w:numId w:val="1000"/>
        </w:numPr>
      </w:pPr>
      <w:r>
        <w:rPr>
          <w:lang w:val="en"/>
        </w:rPr>
        <w:t xml:space="preserve">National classification systems may distinguish mangrove types based on dominant species or structural classes; see FAO mangrove classification systems.</w:t>
      </w:r>
      <w:r>
        <w:rPr>
          <w:lang w:val="en"/>
        </w:rPr>
        <w:t xml:space="preserve"> </w:t>
      </w:r>
      <w:hyperlink w:anchor="user-content-fnref-8">
        <w:r>
          <w:rPr>
            <w:rStyle w:val="Hyperlink"/>
            <w:lang w:val="en"/>
          </w:rPr>
          <w:t xml:space="preserve">↩</w:t>
        </w:r>
      </w:hyperlink>
    </w:p>
    <w:p>
      <w:pPr>
        <w:numPr>
          <w:ilvl w:val="0"/>
          <w:numId w:val="1027"/>
        </w:numPr>
      </w:pPr>
      <w:bookmarkStart w:id="220" w:name="user-content-fn-9"/>
      <w:r>
        <w:rPr>
          <w:lang w:val="en"/>
        </w:rPr>
        <w:t xml:space="preserve">¶8</w:t>
      </w:r>
      <w:r>
        <w:rPr>
          <w:lang w:val="en"/>
        </w:rPr>
        <w:t xml:space="preserve"> </w:t>
      </w:r>
      <w:bookmarkEnd w:id="220"/>
    </w:p>
    <w:p>
      <w:pPr>
        <w:numPr>
          <w:ilvl w:val="0"/>
          <w:numId w:val="1000"/>
        </w:numPr>
      </w:pPr>
      <w:r>
        <w:rPr>
          <w:lang w:val="en"/>
        </w:rPr>
        <w:t xml:space="preserve">SEEA EEA Technical Recommendations, Chapter 3 on spatial data organization.</w:t>
      </w:r>
      <w:r>
        <w:rPr>
          <w:lang w:val="en"/>
        </w:rPr>
        <w:t xml:space="preserve"> </w:t>
      </w:r>
      <w:hyperlink w:anchor="user-content-fnref-9">
        <w:r>
          <w:rPr>
            <w:rStyle w:val="Hyperlink"/>
            <w:lang w:val="en"/>
          </w:rPr>
          <w:t xml:space="preserve">↩</w:t>
        </w:r>
      </w:hyperlink>
    </w:p>
    <w:p>
      <w:pPr>
        <w:numPr>
          <w:ilvl w:val="0"/>
          <w:numId w:val="1027"/>
        </w:numPr>
      </w:pPr>
      <w:bookmarkStart w:id="221" w:name="user-content-fn-10"/>
      <w:r>
        <w:rPr>
          <w:lang w:val="en"/>
        </w:rPr>
        <w:t xml:space="preserve">¶9</w:t>
      </w:r>
      <w:r>
        <w:rPr>
          <w:lang w:val="en"/>
        </w:rPr>
        <w:t xml:space="preserve"> </w:t>
      </w:r>
      <w:bookmarkEnd w:id="221"/>
    </w:p>
    <w:p>
      <w:pPr>
        <w:numPr>
          <w:ilvl w:val="0"/>
          <w:numId w:val="1000"/>
        </w:numPr>
      </w:pPr>
      <w:r>
        <w:rPr>
          <w:lang w:val="en"/>
        </w:rPr>
        <w:t xml:space="preserve">SEEA EEA Technical Recommendations, para 3.79.</w:t>
      </w:r>
      <w:r>
        <w:rPr>
          <w:lang w:val="en"/>
        </w:rPr>
        <w:t xml:space="preserve"> </w:t>
      </w:r>
      <w:hyperlink w:anchor="user-content-fnref-10">
        <w:r>
          <w:rPr>
            <w:rStyle w:val="Hyperlink"/>
            <w:lang w:val="en"/>
          </w:rPr>
          <w:t xml:space="preserve">↩</w:t>
        </w:r>
      </w:hyperlink>
    </w:p>
    <w:p>
      <w:pPr>
        <w:numPr>
          <w:ilvl w:val="0"/>
          <w:numId w:val="1027"/>
        </w:numPr>
      </w:pPr>
      <w:bookmarkStart w:id="222" w:name="user-content-fn-11"/>
      <w:r>
        <w:rPr>
          <w:lang w:val="en"/>
        </w:rPr>
        <w:t xml:space="preserve">¶10</w:t>
      </w:r>
      <w:r>
        <w:rPr>
          <w:lang w:val="en"/>
        </w:rPr>
        <w:t xml:space="preserve"> </w:t>
      </w:r>
      <w:bookmarkEnd w:id="222"/>
    </w:p>
    <w:p>
      <w:pPr>
        <w:numPr>
          <w:ilvl w:val="0"/>
          <w:numId w:val="1000"/>
        </w:numPr>
      </w:pPr>
      <w:r>
        <w:rPr>
          <w:lang w:val="en"/>
        </w:rPr>
        <w:t xml:space="preserve">SAR applications for mangrove mapping are well-established; see references in Global Mangrove Watch methodology.</w:t>
      </w:r>
      <w:r>
        <w:rPr>
          <w:lang w:val="en"/>
        </w:rPr>
        <w:t xml:space="preserve"> </w:t>
      </w:r>
      <w:hyperlink w:anchor="user-content-fnref-11">
        <w:r>
          <w:rPr>
            <w:rStyle w:val="Hyperlink"/>
            <w:lang w:val="en"/>
          </w:rPr>
          <w:t xml:space="preserve">↩</w:t>
        </w:r>
      </w:hyperlink>
    </w:p>
    <w:p>
      <w:pPr>
        <w:numPr>
          <w:ilvl w:val="0"/>
          <w:numId w:val="1027"/>
        </w:numPr>
      </w:pPr>
      <w:bookmarkStart w:id="223" w:name="user-content-fn-12"/>
      <w:r>
        <w:rPr>
          <w:lang w:val="en"/>
        </w:rPr>
        <w:t xml:space="preserve">¶11</w:t>
      </w:r>
      <w:r>
        <w:rPr>
          <w:lang w:val="en"/>
        </w:rPr>
        <w:t xml:space="preserve"> </w:t>
      </w:r>
      <w:bookmarkEnd w:id="223"/>
    </w:p>
    <w:p>
      <w:pPr>
        <w:numPr>
          <w:ilvl w:val="0"/>
          <w:numId w:val="1000"/>
        </w:numPr>
      </w:pPr>
      <w:r>
        <w:rPr>
          <w:lang w:val="en"/>
        </w:rPr>
        <w:t xml:space="preserve">Global Mangrove Watch provides globally consistent annual mangrove extent maps; available at</w:t>
      </w:r>
      <w:r>
        <w:rPr>
          <w:lang w:val="en"/>
        </w:rPr>
        <w:t xml:space="preserve"> </w:t>
      </w:r>
      <w:hyperlink r:id="rId224">
        <w:r>
          <w:rPr>
            <w:rStyle w:val="Hyperlink"/>
            <w:lang w:val="en"/>
          </w:rPr>
          <w:t xml:space="preserve">www.globalmangrovewatch.org</w:t>
        </w:r>
      </w:hyperlink>
      <w:r>
        <w:rPr>
          <w:lang w:val="en"/>
        </w:rPr>
        <w:t xml:space="preserve">.</w:t>
      </w:r>
      <w:r>
        <w:rPr>
          <w:lang w:val="en"/>
        </w:rPr>
        <w:t xml:space="preserve"> </w:t>
      </w:r>
      <w:hyperlink w:anchor="user-content-fnref-12">
        <w:r>
          <w:rPr>
            <w:rStyle w:val="Hyperlink"/>
            <w:lang w:val="en"/>
          </w:rPr>
          <w:t xml:space="preserve">↩</w:t>
        </w:r>
      </w:hyperlink>
    </w:p>
    <w:p>
      <w:pPr>
        <w:numPr>
          <w:ilvl w:val="0"/>
          <w:numId w:val="1027"/>
        </w:numPr>
      </w:pPr>
      <w:bookmarkStart w:id="225" w:name="user-content-fn-13"/>
      <w:r>
        <w:rPr>
          <w:lang w:val="en"/>
        </w:rPr>
        <w:t xml:space="preserve">¶12</w:t>
      </w:r>
      <w:r>
        <w:rPr>
          <w:lang w:val="en"/>
        </w:rPr>
        <w:t xml:space="preserve"> </w:t>
      </w:r>
      <w:bookmarkEnd w:id="225"/>
    </w:p>
    <w:p>
      <w:pPr>
        <w:numPr>
          <w:ilvl w:val="0"/>
          <w:numId w:val="1000"/>
        </w:numPr>
      </w:pPr>
      <w:r>
        <w:rPr>
          <w:lang w:val="en"/>
        </w:rPr>
        <w:t xml:space="preserve">Murray et al. (2019) on global tidal wetland change mapping.</w:t>
      </w:r>
      <w:r>
        <w:rPr>
          <w:lang w:val="en"/>
        </w:rPr>
        <w:t xml:space="preserve"> </w:t>
      </w:r>
      <w:hyperlink w:anchor="user-content-fnref-13">
        <w:r>
          <w:rPr>
            <w:rStyle w:val="Hyperlink"/>
            <w:lang w:val="en"/>
          </w:rPr>
          <w:t xml:space="preserve">↩</w:t>
        </w:r>
      </w:hyperlink>
    </w:p>
    <w:p>
      <w:pPr>
        <w:numPr>
          <w:ilvl w:val="0"/>
          <w:numId w:val="1027"/>
        </w:numPr>
      </w:pPr>
      <w:bookmarkStart w:id="226" w:name="user-content-fn-14"/>
      <w:r>
        <w:rPr>
          <w:lang w:val="en"/>
        </w:rPr>
        <w:t xml:space="preserve">¶13</w:t>
      </w:r>
      <w:r>
        <w:rPr>
          <w:lang w:val="en"/>
        </w:rPr>
        <w:t xml:space="preserve"> </w:t>
      </w:r>
      <w:bookmarkEnd w:id="226"/>
    </w:p>
    <w:p>
      <w:pPr>
        <w:numPr>
          <w:ilvl w:val="0"/>
          <w:numId w:val="1000"/>
        </w:numPr>
      </w:pPr>
      <w:r>
        <w:rPr>
          <w:lang w:val="en"/>
        </w:rPr>
        <w:t xml:space="preserve">SEEA EA, para 4.14-4.16 on accounting entries for extent changes.</w:t>
      </w:r>
      <w:r>
        <w:rPr>
          <w:lang w:val="en"/>
        </w:rPr>
        <w:t xml:space="preserve"> </w:t>
      </w:r>
      <w:hyperlink w:anchor="user-content-fnref-14">
        <w:r>
          <w:rPr>
            <w:rStyle w:val="Hyperlink"/>
            <w:lang w:val="en"/>
          </w:rPr>
          <w:t xml:space="preserve">↩</w:t>
        </w:r>
      </w:hyperlink>
    </w:p>
    <w:p>
      <w:pPr>
        <w:numPr>
          <w:ilvl w:val="0"/>
          <w:numId w:val="1027"/>
        </w:numPr>
      </w:pPr>
      <w:bookmarkStart w:id="227" w:name="user-content-fn-15"/>
      <w:r>
        <w:rPr>
          <w:lang w:val="en"/>
        </w:rPr>
        <w:t xml:space="preserve">¶14</w:t>
      </w:r>
      <w:r>
        <w:rPr>
          <w:lang w:val="en"/>
        </w:rPr>
        <w:t xml:space="preserve"> </w:t>
      </w:r>
      <w:bookmarkEnd w:id="227"/>
    </w:p>
    <w:p>
      <w:pPr>
        <w:numPr>
          <w:ilvl w:val="0"/>
          <w:numId w:val="1000"/>
        </w:numPr>
      </w:pPr>
      <w:r>
        <w:rPr>
          <w:lang w:val="en"/>
        </w:rPr>
        <w:t xml:space="preserve">IPCC (2006/2019 Refinement), Volume 4, Chapter 3 on consistent representation of lands. See also Bunting et al. (2018) on Global Mangrove Watch accuracy assessment procedures.</w:t>
      </w:r>
      <w:r>
        <w:rPr>
          <w:lang w:val="en"/>
        </w:rPr>
        <w:t xml:space="preserve"> </w:t>
      </w:r>
      <w:hyperlink w:anchor="user-content-fnref-15">
        <w:r>
          <w:rPr>
            <w:rStyle w:val="Hyperlink"/>
            <w:lang w:val="en"/>
          </w:rPr>
          <w:t xml:space="preserve">↩</w:t>
        </w:r>
      </w:hyperlink>
    </w:p>
    <w:p>
      <w:pPr>
        <w:numPr>
          <w:ilvl w:val="0"/>
          <w:numId w:val="1027"/>
        </w:numPr>
      </w:pPr>
      <w:bookmarkStart w:id="228" w:name="user-content-fn-16"/>
      <w:r>
        <w:rPr>
          <w:lang w:val="en"/>
        </w:rPr>
        <w:t xml:space="preserve">¶15</w:t>
      </w:r>
      <w:r>
        <w:rPr>
          <w:lang w:val="en"/>
        </w:rPr>
        <w:t xml:space="preserve"> </w:t>
      </w:r>
      <w:bookmarkEnd w:id="228"/>
    </w:p>
    <w:p>
      <w:pPr>
        <w:numPr>
          <w:ilvl w:val="0"/>
          <w:numId w:val="1000"/>
        </w:numPr>
      </w:pPr>
      <w:r>
        <w:rPr>
          <w:lang w:val="en"/>
        </w:rPr>
        <w:t xml:space="preserve">SEEA EA, para 4.16.</w:t>
      </w:r>
      <w:r>
        <w:rPr>
          <w:lang w:val="en"/>
        </w:rPr>
        <w:t xml:space="preserve"> </w:t>
      </w:r>
      <w:hyperlink w:anchor="user-content-fnref-16">
        <w:r>
          <w:rPr>
            <w:rStyle w:val="Hyperlink"/>
            <w:lang w:val="en"/>
          </w:rPr>
          <w:t xml:space="preserve">↩</w:t>
        </w:r>
      </w:hyperlink>
    </w:p>
    <w:p>
      <w:pPr>
        <w:numPr>
          <w:ilvl w:val="0"/>
          <w:numId w:val="1027"/>
        </w:numPr>
      </w:pPr>
      <w:bookmarkStart w:id="229" w:name="user-content-fn-7"/>
      <w:r>
        <w:rPr>
          <w:lang w:val="en"/>
        </w:rPr>
        <w:t xml:space="preserve">¶16</w:t>
      </w:r>
      <w:r>
        <w:rPr>
          <w:lang w:val="en"/>
        </w:rPr>
        <w:t xml:space="preserve"> </w:t>
      </w:r>
      <w:bookmarkEnd w:id="229"/>
    </w:p>
    <w:p>
      <w:pPr>
        <w:numPr>
          <w:ilvl w:val="0"/>
          <w:numId w:val="1000"/>
        </w:numPr>
      </w:pPr>
      <w:r>
        <w:rPr>
          <w:lang w:val="en"/>
        </w:rPr>
        <w:t xml:space="preserve">SEEA EA, para 4.8.</w:t>
      </w:r>
      <w:r>
        <w:rPr>
          <w:lang w:val="en"/>
        </w:rPr>
        <w:t xml:space="preserve"> </w:t>
      </w:r>
      <w:hyperlink w:anchor="user-content-fnref-7">
        <w:r>
          <w:rPr>
            <w:rStyle w:val="Hyperlink"/>
            <w:lang w:val="en"/>
          </w:rPr>
          <w:t xml:space="preserve">↩</w:t>
        </w:r>
      </w:hyperlink>
    </w:p>
    <w:p>
      <w:pPr>
        <w:numPr>
          <w:ilvl w:val="0"/>
          <w:numId w:val="1027"/>
        </w:numPr>
      </w:pPr>
      <w:bookmarkStart w:id="230" w:name="user-content-fn-17"/>
      <w:r>
        <w:rPr>
          <w:lang w:val="en"/>
        </w:rPr>
        <w:t xml:space="preserve">¶17</w:t>
      </w:r>
      <w:r>
        <w:rPr>
          <w:lang w:val="en"/>
        </w:rPr>
        <w:t xml:space="preserve"> </w:t>
      </w:r>
      <w:bookmarkEnd w:id="230"/>
    </w:p>
    <w:p>
      <w:pPr>
        <w:numPr>
          <w:ilvl w:val="0"/>
          <w:numId w:val="1000"/>
        </w:numPr>
      </w:pPr>
      <w:r>
        <w:rPr>
          <w:lang w:val="en"/>
        </w:rPr>
        <w:t xml:space="preserve">SEEA EA, Table 4.1 provides the ecosystem extent account structure.</w:t>
      </w:r>
      <w:r>
        <w:rPr>
          <w:lang w:val="en"/>
        </w:rPr>
        <w:t xml:space="preserve"> </w:t>
      </w:r>
      <w:hyperlink w:anchor="user-content-fnref-17">
        <w:r>
          <w:rPr>
            <w:rStyle w:val="Hyperlink"/>
            <w:lang w:val="en"/>
          </w:rPr>
          <w:t xml:space="preserve">↩</w:t>
        </w:r>
      </w:hyperlink>
    </w:p>
    <w:p>
      <w:pPr>
        <w:numPr>
          <w:ilvl w:val="0"/>
          <w:numId w:val="1027"/>
        </w:numPr>
      </w:pPr>
      <w:bookmarkStart w:id="231" w:name="user-content-fn-18"/>
      <w:r>
        <w:rPr>
          <w:lang w:val="en"/>
        </w:rPr>
        <w:t xml:space="preserve">¶18</w:t>
      </w:r>
      <w:r>
        <w:rPr>
          <w:lang w:val="en"/>
        </w:rPr>
        <w:t xml:space="preserve"> </w:t>
      </w:r>
      <w:bookmarkEnd w:id="231"/>
    </w:p>
    <w:p>
      <w:pPr>
        <w:numPr>
          <w:ilvl w:val="0"/>
          <w:numId w:val="1000"/>
        </w:numPr>
      </w:pPr>
      <w:r>
        <w:rPr>
          <w:lang w:val="en"/>
        </w:rPr>
        <w:t xml:space="preserve">SEEA EA, para 5.1: “Ecosystem condition accounts provide a structured approach to recording and aggregating data describing the characteristics of ecosystem assets and how they have changed.”</w:t>
      </w:r>
      <w:r>
        <w:rPr>
          <w:lang w:val="en"/>
        </w:rPr>
        <w:t xml:space="preserve"> </w:t>
      </w:r>
      <w:hyperlink w:anchor="user-content-fnref-18">
        <w:r>
          <w:rPr>
            <w:rStyle w:val="Hyperlink"/>
            <w:lang w:val="en"/>
          </w:rPr>
          <w:t xml:space="preserve">↩</w:t>
        </w:r>
      </w:hyperlink>
    </w:p>
    <w:p>
      <w:pPr>
        <w:numPr>
          <w:ilvl w:val="0"/>
          <w:numId w:val="1027"/>
        </w:numPr>
      </w:pPr>
      <w:bookmarkStart w:id="232" w:name="user-content-fn-19"/>
      <w:r>
        <w:rPr>
          <w:lang w:val="en"/>
        </w:rPr>
        <w:t xml:space="preserve">¶19</w:t>
      </w:r>
      <w:r>
        <w:rPr>
          <w:lang w:val="en"/>
        </w:rPr>
        <w:t xml:space="preserve"> </w:t>
      </w:r>
      <w:bookmarkEnd w:id="232"/>
    </w:p>
    <w:p>
      <w:pPr>
        <w:numPr>
          <w:ilvl w:val="0"/>
          <w:numId w:val="1000"/>
        </w:numPr>
      </w:pPr>
      <w:r>
        <w:rPr>
          <w:lang w:val="en"/>
        </w:rPr>
        <w:t xml:space="preserve">SEEA EA, para 5.2.</w:t>
      </w:r>
      <w:r>
        <w:rPr>
          <w:lang w:val="en"/>
        </w:rPr>
        <w:t xml:space="preserve"> </w:t>
      </w:r>
      <w:hyperlink w:anchor="user-content-fnref-19">
        <w:r>
          <w:rPr>
            <w:rStyle w:val="Hyperlink"/>
            <w:lang w:val="en"/>
          </w:rPr>
          <w:t xml:space="preserve">↩</w:t>
        </w:r>
      </w:hyperlink>
    </w:p>
    <w:p>
      <w:pPr>
        <w:numPr>
          <w:ilvl w:val="0"/>
          <w:numId w:val="1027"/>
        </w:numPr>
      </w:pPr>
      <w:bookmarkStart w:id="233" w:name="user-content-fn-83"/>
      <w:r>
        <w:rPr>
          <w:lang w:val="en"/>
        </w:rPr>
        <w:t xml:space="preserve">¶20</w:t>
      </w:r>
      <w:r>
        <w:rPr>
          <w:lang w:val="en"/>
        </w:rPr>
        <w:t xml:space="preserve"> </w:t>
      </w:r>
      <w:bookmarkEnd w:id="233"/>
    </w:p>
    <w:p>
      <w:pPr>
        <w:numPr>
          <w:ilvl w:val="0"/>
          <w:numId w:val="1000"/>
        </w:numPr>
      </w:pPr>
      <w:r>
        <w:rPr>
          <w:lang w:val="en"/>
        </w:rPr>
        <w:t xml:space="preserve">SEEA EA, Section 5.2.4 on ecosystem condition variables and their selection.</w:t>
      </w:r>
      <w:r>
        <w:rPr>
          <w:lang w:val="en"/>
        </w:rPr>
        <w:t xml:space="preserve"> </w:t>
      </w:r>
      <w:hyperlink w:anchor="user-content-fnref-83">
        <w:r>
          <w:rPr>
            <w:rStyle w:val="Hyperlink"/>
            <w:lang w:val="en"/>
          </w:rPr>
          <w:t xml:space="preserve">↩</w:t>
        </w:r>
      </w:hyperlink>
    </w:p>
    <w:p>
      <w:pPr>
        <w:numPr>
          <w:ilvl w:val="0"/>
          <w:numId w:val="1027"/>
        </w:numPr>
      </w:pPr>
      <w:bookmarkStart w:id="234" w:name="user-content-fn-20"/>
      <w:r>
        <w:rPr>
          <w:lang w:val="en"/>
        </w:rPr>
        <w:t xml:space="preserve">¶21</w:t>
      </w:r>
      <w:r>
        <w:rPr>
          <w:lang w:val="en"/>
        </w:rPr>
        <w:t xml:space="preserve"> </w:t>
      </w:r>
      <w:bookmarkEnd w:id="234"/>
    </w:p>
    <w:p>
      <w:pPr>
        <w:numPr>
          <w:ilvl w:val="0"/>
          <w:numId w:val="1000"/>
        </w:numPr>
      </w:pPr>
      <w:r>
        <w:rPr>
          <w:lang w:val="en"/>
        </w:rPr>
        <w:t xml:space="preserve">SEEA EA, Table 5.1 presents the SEEA Ecosystem Condition Typology with six classes.</w:t>
      </w:r>
      <w:r>
        <w:rPr>
          <w:lang w:val="en"/>
        </w:rPr>
        <w:t xml:space="preserve"> </w:t>
      </w:r>
      <w:hyperlink w:anchor="user-content-fnref-20">
        <w:r>
          <w:rPr>
            <w:rStyle w:val="Hyperlink"/>
            <w:lang w:val="en"/>
          </w:rPr>
          <w:t xml:space="preserve">↩</w:t>
        </w:r>
      </w:hyperlink>
    </w:p>
    <w:p>
      <w:pPr>
        <w:numPr>
          <w:ilvl w:val="0"/>
          <w:numId w:val="1027"/>
        </w:numPr>
      </w:pPr>
      <w:bookmarkStart w:id="235" w:name="user-content-fn-21"/>
      <w:r>
        <w:rPr>
          <w:lang w:val="en"/>
        </w:rPr>
        <w:t xml:space="preserve">¶22</w:t>
      </w:r>
      <w:r>
        <w:rPr>
          <w:lang w:val="en"/>
        </w:rPr>
        <w:t xml:space="preserve"> </w:t>
      </w:r>
      <w:bookmarkEnd w:id="235"/>
    </w:p>
    <w:p>
      <w:pPr>
        <w:numPr>
          <w:ilvl w:val="0"/>
          <w:numId w:val="1000"/>
        </w:numPr>
      </w:pPr>
      <w:r>
        <w:rPr>
          <w:lang w:val="en"/>
        </w:rPr>
        <w:t xml:space="preserve">SEEA EA, para 5.36.</w:t>
      </w:r>
      <w:r>
        <w:rPr>
          <w:lang w:val="en"/>
        </w:rPr>
        <w:t xml:space="preserve"> </w:t>
      </w:r>
      <w:hyperlink w:anchor="user-content-fnref-21">
        <w:r>
          <w:rPr>
            <w:rStyle w:val="Hyperlink"/>
            <w:lang w:val="en"/>
          </w:rPr>
          <w:t xml:space="preserve">↩</w:t>
        </w:r>
      </w:hyperlink>
    </w:p>
    <w:p>
      <w:pPr>
        <w:numPr>
          <w:ilvl w:val="0"/>
          <w:numId w:val="1027"/>
        </w:numPr>
      </w:pPr>
      <w:bookmarkStart w:id="236" w:name="user-content-fn-22"/>
      <w:r>
        <w:rPr>
          <w:lang w:val="en"/>
        </w:rPr>
        <w:t xml:space="preserve">¶23</w:t>
      </w:r>
      <w:r>
        <w:rPr>
          <w:lang w:val="en"/>
        </w:rPr>
        <w:t xml:space="preserve"> </w:t>
      </w:r>
      <w:bookmarkEnd w:id="236"/>
    </w:p>
    <w:p>
      <w:pPr>
        <w:numPr>
          <w:ilvl w:val="0"/>
          <w:numId w:val="1000"/>
        </w:numPr>
      </w:pPr>
      <w:r>
        <w:rPr>
          <w:lang w:val="en"/>
        </w:rPr>
        <w:t xml:space="preserve">SEEA EA, para 5.35.</w:t>
      </w:r>
      <w:r>
        <w:rPr>
          <w:lang w:val="en"/>
        </w:rPr>
        <w:t xml:space="preserve"> </w:t>
      </w:r>
      <w:hyperlink w:anchor="user-content-fnref-22">
        <w:r>
          <w:rPr>
            <w:rStyle w:val="Hyperlink"/>
            <w:lang w:val="en"/>
          </w:rPr>
          <w:t xml:space="preserve">↩</w:t>
        </w:r>
      </w:hyperlink>
    </w:p>
    <w:p>
      <w:pPr>
        <w:numPr>
          <w:ilvl w:val="0"/>
          <w:numId w:val="1027"/>
        </w:numPr>
      </w:pPr>
      <w:bookmarkStart w:id="237" w:name="user-content-fn-23"/>
      <w:r>
        <w:rPr>
          <w:lang w:val="en"/>
        </w:rPr>
        <w:t xml:space="preserve">¶24</w:t>
      </w:r>
      <w:r>
        <w:rPr>
          <w:lang w:val="en"/>
        </w:rPr>
        <w:t xml:space="preserve"> </w:t>
      </w:r>
      <w:bookmarkEnd w:id="237"/>
    </w:p>
    <w:p>
      <w:pPr>
        <w:numPr>
          <w:ilvl w:val="0"/>
          <w:numId w:val="1000"/>
        </w:numPr>
      </w:pPr>
      <w:r>
        <w:rPr>
          <w:lang w:val="en"/>
        </w:rPr>
        <w:t xml:space="preserve">Hydrological connectivity is fundamental to tidal wetland function; disruption is a major driver of degradation globally.</w:t>
      </w:r>
      <w:r>
        <w:rPr>
          <w:lang w:val="en"/>
        </w:rPr>
        <w:t xml:space="preserve"> </w:t>
      </w:r>
      <w:hyperlink w:anchor="user-content-fnref-23">
        <w:r>
          <w:rPr>
            <w:rStyle w:val="Hyperlink"/>
            <w:lang w:val="en"/>
          </w:rPr>
          <w:t xml:space="preserve">↩</w:t>
        </w:r>
      </w:hyperlink>
    </w:p>
    <w:p>
      <w:pPr>
        <w:numPr>
          <w:ilvl w:val="0"/>
          <w:numId w:val="1027"/>
        </w:numPr>
      </w:pPr>
      <w:bookmarkStart w:id="238" w:name="user-content-fn-24"/>
      <w:r>
        <w:rPr>
          <w:lang w:val="en"/>
        </w:rPr>
        <w:t xml:space="preserve">¶25</w:t>
      </w:r>
      <w:r>
        <w:rPr>
          <w:lang w:val="en"/>
        </w:rPr>
        <w:t xml:space="preserve"> </w:t>
      </w:r>
      <w:bookmarkEnd w:id="238"/>
    </w:p>
    <w:p>
      <w:pPr>
        <w:numPr>
          <w:ilvl w:val="0"/>
          <w:numId w:val="1000"/>
        </w:numPr>
      </w:pPr>
      <w:r>
        <w:rPr>
          <w:lang w:val="en"/>
        </w:rPr>
        <w:t xml:space="preserve">SEEA EA, para 5.11 notes ecosystem resilience considerations; sediment elevation monitoring is critical for sea-level rise adaptation.</w:t>
      </w:r>
      <w:r>
        <w:rPr>
          <w:lang w:val="en"/>
        </w:rPr>
        <w:t xml:space="preserve"> </w:t>
      </w:r>
      <w:hyperlink w:anchor="user-content-fnref-24">
        <w:r>
          <w:rPr>
            <w:rStyle w:val="Hyperlink"/>
            <w:lang w:val="en"/>
          </w:rPr>
          <w:t xml:space="preserve">↩</w:t>
        </w:r>
      </w:hyperlink>
    </w:p>
    <w:p>
      <w:pPr>
        <w:numPr>
          <w:ilvl w:val="0"/>
          <w:numId w:val="1027"/>
        </w:numPr>
      </w:pPr>
      <w:bookmarkStart w:id="239" w:name="user-content-fn-25"/>
      <w:r>
        <w:rPr>
          <w:lang w:val="en"/>
        </w:rPr>
        <w:t xml:space="preserve">¶26</w:t>
      </w:r>
      <w:r>
        <w:rPr>
          <w:lang w:val="en"/>
        </w:rPr>
        <w:t xml:space="preserve"> </w:t>
      </w:r>
      <w:bookmarkEnd w:id="239"/>
    </w:p>
    <w:p>
      <w:pPr>
        <w:numPr>
          <w:ilvl w:val="0"/>
          <w:numId w:val="1000"/>
        </w:numPr>
      </w:pPr>
      <w:r>
        <w:rPr>
          <w:lang w:val="en"/>
        </w:rPr>
        <w:t xml:space="preserve">SEEA EA, Section 5.3 on reference conditions for ecosystem condition assessment.</w:t>
      </w:r>
      <w:r>
        <w:rPr>
          <w:lang w:val="en"/>
        </w:rPr>
        <w:t xml:space="preserve"> </w:t>
      </w:r>
      <w:hyperlink w:anchor="user-content-fnref-25">
        <w:r>
          <w:rPr>
            <w:rStyle w:val="Hyperlink"/>
            <w:lang w:val="en"/>
          </w:rPr>
          <w:t xml:space="preserve">↩</w:t>
        </w:r>
      </w:hyperlink>
    </w:p>
    <w:p>
      <w:pPr>
        <w:numPr>
          <w:ilvl w:val="0"/>
          <w:numId w:val="1027"/>
        </w:numPr>
      </w:pPr>
      <w:bookmarkStart w:id="240" w:name="user-content-fn-26"/>
      <w:r>
        <w:rPr>
          <w:lang w:val="en"/>
        </w:rPr>
        <w:t xml:space="preserve">¶27</w:t>
      </w:r>
      <w:r>
        <w:rPr>
          <w:lang w:val="en"/>
        </w:rPr>
        <w:t xml:space="preserve"> </w:t>
      </w:r>
      <w:bookmarkEnd w:id="240"/>
    </w:p>
    <w:p>
      <w:pPr>
        <w:numPr>
          <w:ilvl w:val="0"/>
          <w:numId w:val="1000"/>
        </w:numPr>
      </w:pPr>
      <w:r>
        <w:rPr>
          <w:lang w:val="en"/>
        </w:rPr>
        <w:t xml:space="preserve">UNSD (2023), Method of the Ecosystem Condition Account; Howard et al. (2014) on minimum plot specifications for blue carbon surveys; GFOI (2025) on sampling requirements for national inventory submissions.</w:t>
      </w:r>
      <w:r>
        <w:rPr>
          <w:lang w:val="en"/>
        </w:rPr>
        <w:t xml:space="preserve"> </w:t>
      </w:r>
      <w:hyperlink w:anchor="user-content-fnref-26">
        <w:r>
          <w:rPr>
            <w:rStyle w:val="Hyperlink"/>
            <w:lang w:val="en"/>
          </w:rPr>
          <w:t xml:space="preserve">↩</w:t>
        </w:r>
      </w:hyperlink>
    </w:p>
    <w:p>
      <w:pPr>
        <w:numPr>
          <w:ilvl w:val="0"/>
          <w:numId w:val="1027"/>
        </w:numPr>
      </w:pPr>
      <w:bookmarkStart w:id="241" w:name="user-content-fn-27"/>
      <w:r>
        <w:rPr>
          <w:lang w:val="en"/>
        </w:rPr>
        <w:t xml:space="preserve">¶28</w:t>
      </w:r>
      <w:r>
        <w:rPr>
          <w:lang w:val="en"/>
        </w:rPr>
        <w:t xml:space="preserve"> </w:t>
      </w:r>
      <w:bookmarkEnd w:id="241"/>
    </w:p>
    <w:p>
      <w:pPr>
        <w:numPr>
          <w:ilvl w:val="0"/>
          <w:numId w:val="1000"/>
        </w:numPr>
      </w:pPr>
      <w:r>
        <w:rPr>
          <w:lang w:val="en"/>
        </w:rPr>
        <w:t xml:space="preserve">SEEA EA, paras 6.110-6.115; UNSD (2023), Method of the Ecosystem Condition Account. SOC non-proportional degradation is well-established: deep sediment SOC may persist for centuries even after surface biomass removal because anaerobic conditions limit decomposition.</w:t>
      </w:r>
      <w:r>
        <w:rPr>
          <w:lang w:val="en"/>
        </w:rPr>
        <w:t xml:space="preserve"> </w:t>
      </w:r>
      <w:hyperlink w:anchor="user-content-fnref-27">
        <w:r>
          <w:rPr>
            <w:rStyle w:val="Hyperlink"/>
            <w:lang w:val="en"/>
          </w:rPr>
          <w:t xml:space="preserve">↩</w:t>
        </w:r>
      </w:hyperlink>
    </w:p>
    <w:p>
      <w:pPr>
        <w:numPr>
          <w:ilvl w:val="0"/>
          <w:numId w:val="1027"/>
        </w:numPr>
      </w:pPr>
      <w:bookmarkStart w:id="242" w:name="user-content-fn-84"/>
      <w:r>
        <w:rPr>
          <w:lang w:val="en"/>
        </w:rPr>
        <w:t xml:space="preserve">¶29</w:t>
      </w:r>
      <w:r>
        <w:rPr>
          <w:lang w:val="en"/>
        </w:rPr>
        <w:t xml:space="preserve"> </w:t>
      </w:r>
      <w:bookmarkEnd w:id="242"/>
    </w:p>
    <w:p>
      <w:pPr>
        <w:numPr>
          <w:ilvl w:val="0"/>
          <w:numId w:val="1000"/>
        </w:numPr>
      </w:pPr>
      <w:r>
        <w:rPr>
          <w:lang w:val="en"/>
        </w:rPr>
        <w:t xml:space="preserve">SEEA EA, Table 5.2 provides the ecosystem condition variable account structure.</w:t>
      </w:r>
      <w:r>
        <w:rPr>
          <w:lang w:val="en"/>
        </w:rPr>
        <w:t xml:space="preserve"> </w:t>
      </w:r>
      <w:hyperlink w:anchor="user-content-fnref-84">
        <w:r>
          <w:rPr>
            <w:rStyle w:val="Hyperlink"/>
            <w:lang w:val="en"/>
          </w:rPr>
          <w:t xml:space="preserve">↩</w:t>
        </w:r>
      </w:hyperlink>
    </w:p>
    <w:p>
      <w:pPr>
        <w:numPr>
          <w:ilvl w:val="0"/>
          <w:numId w:val="1027"/>
        </w:numPr>
      </w:pPr>
      <w:bookmarkStart w:id="243" w:name="user-content-fn-28"/>
      <w:r>
        <w:rPr>
          <w:lang w:val="en"/>
        </w:rPr>
        <w:t xml:space="preserve">¶30</w:t>
      </w:r>
      <w:r>
        <w:rPr>
          <w:lang w:val="en"/>
        </w:rPr>
        <w:t xml:space="preserve"> </w:t>
      </w:r>
      <w:bookmarkEnd w:id="243"/>
    </w:p>
    <w:p>
      <w:pPr>
        <w:numPr>
          <w:ilvl w:val="0"/>
          <w:numId w:val="1000"/>
        </w:numPr>
      </w:pPr>
      <w:r>
        <w:rPr>
          <w:lang w:val="en"/>
        </w:rPr>
        <w:t xml:space="preserve">United Nations (2022), Monetary Valuation Technical Report v1.5, Section 4.2.9; Keith et al. (2019), London Group paper on accounting for carbon stocks and flows.</w:t>
      </w:r>
      <w:r>
        <w:rPr>
          <w:lang w:val="en"/>
        </w:rPr>
        <w:t xml:space="preserve"> </w:t>
      </w:r>
      <w:hyperlink w:anchor="user-content-fnref-28">
        <w:r>
          <w:rPr>
            <w:rStyle w:val="Hyperlink"/>
            <w:lang w:val="en"/>
          </w:rPr>
          <w:t xml:space="preserve">↩</w:t>
        </w:r>
      </w:hyperlink>
    </w:p>
    <w:p>
      <w:pPr>
        <w:numPr>
          <w:ilvl w:val="0"/>
          <w:numId w:val="1027"/>
        </w:numPr>
      </w:pPr>
      <w:bookmarkStart w:id="244" w:name="user-content-fn-29"/>
      <w:r>
        <w:rPr>
          <w:lang w:val="en"/>
        </w:rPr>
        <w:t xml:space="preserve">¶31</w:t>
      </w:r>
      <w:r>
        <w:rPr>
          <w:lang w:val="en"/>
        </w:rPr>
        <w:t xml:space="preserve"> </w:t>
      </w:r>
      <w:bookmarkEnd w:id="244"/>
    </w:p>
    <w:p>
      <w:pPr>
        <w:numPr>
          <w:ilvl w:val="0"/>
          <w:numId w:val="1000"/>
        </w:numPr>
      </w:pPr>
      <w:r>
        <w:rPr>
          <w:lang w:val="en"/>
        </w:rPr>
        <w:t xml:space="preserve">IPCC (2013), Wetlands Supplement, Chapter 4; IPCC (2019) Refinement, Volume 4, Chapter 7. Tidal flat accounting gaps acknowledged in GFOI (2025).</w:t>
      </w:r>
      <w:r>
        <w:rPr>
          <w:lang w:val="en"/>
        </w:rPr>
        <w:t xml:space="preserve"> </w:t>
      </w:r>
      <w:hyperlink w:anchor="user-content-fnref-29">
        <w:r>
          <w:rPr>
            <w:rStyle w:val="Hyperlink"/>
            <w:lang w:val="en"/>
          </w:rPr>
          <w:t xml:space="preserve">↩</w:t>
        </w:r>
      </w:hyperlink>
    </w:p>
    <w:p>
      <w:pPr>
        <w:numPr>
          <w:ilvl w:val="0"/>
          <w:numId w:val="1027"/>
        </w:numPr>
      </w:pPr>
      <w:bookmarkStart w:id="245" w:name="user-content-fn-30"/>
      <w:r>
        <w:rPr>
          <w:lang w:val="en"/>
        </w:rPr>
        <w:t xml:space="preserve">¶32</w:t>
      </w:r>
      <w:r>
        <w:rPr>
          <w:lang w:val="en"/>
        </w:rPr>
        <w:t xml:space="preserve"> </w:t>
      </w:r>
      <w:bookmarkEnd w:id="245"/>
    </w:p>
    <w:p>
      <w:pPr>
        <w:numPr>
          <w:ilvl w:val="0"/>
          <w:numId w:val="1000"/>
        </w:numPr>
      </w:pPr>
      <w:r>
        <w:rPr>
          <w:lang w:val="en"/>
        </w:rPr>
        <w:t xml:space="preserve">IPCC (2013), Wetlands Supplement, Chapter 4 escalation guidance; High Level Panel for a Sustainable Ocean Economy (2023), Blue Carbon Handbook.</w:t>
      </w:r>
      <w:r>
        <w:rPr>
          <w:lang w:val="en"/>
        </w:rPr>
        <w:t xml:space="preserve"> </w:t>
      </w:r>
      <w:hyperlink w:anchor="user-content-fnref-30">
        <w:r>
          <w:rPr>
            <w:rStyle w:val="Hyperlink"/>
            <w:lang w:val="en"/>
          </w:rPr>
          <w:t xml:space="preserve">↩</w:t>
        </w:r>
      </w:hyperlink>
    </w:p>
    <w:p>
      <w:pPr>
        <w:numPr>
          <w:ilvl w:val="0"/>
          <w:numId w:val="1027"/>
        </w:numPr>
      </w:pPr>
      <w:bookmarkStart w:id="246" w:name="user-content-fn-31"/>
      <w:r>
        <w:rPr>
          <w:lang w:val="en"/>
        </w:rPr>
        <w:t xml:space="preserve">¶33</w:t>
      </w:r>
      <w:r>
        <w:rPr>
          <w:lang w:val="en"/>
        </w:rPr>
        <w:t xml:space="preserve"> </w:t>
      </w:r>
      <w:bookmarkEnd w:id="246"/>
    </w:p>
    <w:p>
      <w:pPr>
        <w:numPr>
          <w:ilvl w:val="0"/>
          <w:numId w:val="1000"/>
        </w:numPr>
      </w:pPr>
      <w:r>
        <w:rPr>
          <w:lang w:val="en"/>
        </w:rPr>
        <w:t xml:space="preserve">SEEA EA, para 6.114; Lim et al. (2025) on macroalgal ecosystem inclusion in IPCC inventories.</w:t>
      </w:r>
      <w:r>
        <w:rPr>
          <w:lang w:val="en"/>
        </w:rPr>
        <w:t xml:space="preserve"> </w:t>
      </w:r>
      <w:hyperlink w:anchor="user-content-fnref-31">
        <w:r>
          <w:rPr>
            <w:rStyle w:val="Hyperlink"/>
            <w:lang w:val="en"/>
          </w:rPr>
          <w:t xml:space="preserve">↩</w:t>
        </w:r>
      </w:hyperlink>
    </w:p>
    <w:p>
      <w:pPr>
        <w:numPr>
          <w:ilvl w:val="0"/>
          <w:numId w:val="1027"/>
        </w:numPr>
      </w:pPr>
      <w:bookmarkStart w:id="247" w:name="user-content-fn-33"/>
      <w:r>
        <w:rPr>
          <w:lang w:val="en"/>
        </w:rPr>
        <w:t xml:space="preserve">¶34</w:t>
      </w:r>
      <w:r>
        <w:rPr>
          <w:lang w:val="en"/>
        </w:rPr>
        <w:t xml:space="preserve"> </w:t>
      </w:r>
      <w:bookmarkEnd w:id="247"/>
    </w:p>
    <w:p>
      <w:pPr>
        <w:numPr>
          <w:ilvl w:val="0"/>
          <w:numId w:val="1000"/>
        </w:numPr>
      </w:pPr>
      <w:r>
        <w:rPr>
          <w:lang w:val="en"/>
        </w:rPr>
        <w:t xml:space="preserve">IPCC 2013 Wetlands Supplement provides methodology for blue carbon stock accounting across five standard pools.</w:t>
      </w:r>
      <w:r>
        <w:rPr>
          <w:lang w:val="en"/>
        </w:rPr>
        <w:t xml:space="preserve"> </w:t>
      </w:r>
      <w:hyperlink w:anchor="user-content-fnref-33">
        <w:r>
          <w:rPr>
            <w:rStyle w:val="Hyperlink"/>
            <w:lang w:val="en"/>
          </w:rPr>
          <w:t xml:space="preserve">↩</w:t>
        </w:r>
      </w:hyperlink>
    </w:p>
    <w:p>
      <w:pPr>
        <w:numPr>
          <w:ilvl w:val="0"/>
          <w:numId w:val="1027"/>
        </w:numPr>
      </w:pPr>
      <w:bookmarkStart w:id="248" w:name="user-content-fn-34"/>
      <w:r>
        <w:rPr>
          <w:lang w:val="en"/>
        </w:rPr>
        <w:t xml:space="preserve">¶35</w:t>
      </w:r>
      <w:r>
        <w:rPr>
          <w:lang w:val="en"/>
        </w:rPr>
        <w:t xml:space="preserve"> </w:t>
      </w:r>
      <w:bookmarkEnd w:id="248"/>
    </w:p>
    <w:p>
      <w:pPr>
        <w:numPr>
          <w:ilvl w:val="0"/>
          <w:numId w:val="1000"/>
        </w:numPr>
      </w:pPr>
      <w:r>
        <w:rPr>
          <w:lang w:val="en"/>
        </w:rPr>
        <w:t xml:space="preserve">Above-ground biomass carbon fraction of 0.47 is sourced from IPCC 2006 Guidelines Volume 4 Chapter 4 Table 4.3 (forest biomass carbon fraction). Below-ground biomass carbon fraction of 0.39 is the mangrove-specific value derived from Kauffman et al. (2011) measurements and tabulated in Howard et al. (2014) Table 3.1; this should not be attributed solely to Kauffman &amp; Donato (2012).</w:t>
      </w:r>
      <w:r>
        <w:rPr>
          <w:lang w:val="en"/>
        </w:rPr>
        <w:t xml:space="preserve"> </w:t>
      </w:r>
      <w:hyperlink w:anchor="user-content-fnref-34">
        <w:r>
          <w:rPr>
            <w:rStyle w:val="Hyperlink"/>
            <w:lang w:val="en"/>
          </w:rPr>
          <w:t xml:space="preserve">↩</w:t>
        </w:r>
      </w:hyperlink>
    </w:p>
    <w:p>
      <w:pPr>
        <w:numPr>
          <w:ilvl w:val="0"/>
          <w:numId w:val="1027"/>
        </w:numPr>
      </w:pPr>
      <w:bookmarkStart w:id="249" w:name="user-content-fn-35"/>
      <w:r>
        <w:rPr>
          <w:lang w:val="en"/>
        </w:rPr>
        <w:t xml:space="preserve">¶36</w:t>
      </w:r>
      <w:r>
        <w:rPr>
          <w:lang w:val="en"/>
        </w:rPr>
        <w:t xml:space="preserve"> </w:t>
      </w:r>
      <w:bookmarkEnd w:id="249"/>
    </w:p>
    <w:p>
      <w:pPr>
        <w:numPr>
          <w:ilvl w:val="0"/>
          <w:numId w:val="1000"/>
        </w:numPr>
      </w:pPr>
      <w:r>
        <w:rPr>
          <w:lang w:val="en"/>
        </w:rPr>
        <w:t xml:space="preserve">Komiyama et al. (2008) on mangrove root:shoot ratios and allometry.</w:t>
      </w:r>
      <w:r>
        <w:rPr>
          <w:lang w:val="en"/>
        </w:rPr>
        <w:t xml:space="preserve"> </w:t>
      </w:r>
      <w:hyperlink w:anchor="user-content-fnref-35">
        <w:r>
          <w:rPr>
            <w:rStyle w:val="Hyperlink"/>
            <w:lang w:val="en"/>
          </w:rPr>
          <w:t xml:space="preserve">↩</w:t>
        </w:r>
      </w:hyperlink>
    </w:p>
    <w:p>
      <w:pPr>
        <w:numPr>
          <w:ilvl w:val="0"/>
          <w:numId w:val="1027"/>
        </w:numPr>
      </w:pPr>
      <w:bookmarkStart w:id="250" w:name="user-content-fn-36"/>
      <w:r>
        <w:rPr>
          <w:lang w:val="en"/>
        </w:rPr>
        <w:t xml:space="preserve">¶37</w:t>
      </w:r>
      <w:r>
        <w:rPr>
          <w:lang w:val="en"/>
        </w:rPr>
        <w:t xml:space="preserve"> </w:t>
      </w:r>
      <w:bookmarkEnd w:id="250"/>
    </w:p>
    <w:p>
      <w:pPr>
        <w:numPr>
          <w:ilvl w:val="0"/>
          <w:numId w:val="1000"/>
        </w:numPr>
      </w:pPr>
      <w:r>
        <w:rPr>
          <w:lang w:val="en"/>
        </w:rPr>
        <w:t xml:space="preserve">IPCC 2013 Wetlands Supplement recommends 1-metre depth for sediment carbon reporting as the standard minimum. Howard et al. (2014) provide coring protocols for depths beyond 1 metre in high-carbon systems.</w:t>
      </w:r>
      <w:r>
        <w:rPr>
          <w:lang w:val="en"/>
        </w:rPr>
        <w:t xml:space="preserve"> </w:t>
      </w:r>
      <w:hyperlink w:anchor="user-content-fnref-36">
        <w:r>
          <w:rPr>
            <w:rStyle w:val="Hyperlink"/>
            <w:lang w:val="en"/>
          </w:rPr>
          <w:t xml:space="preserve">↩</w:t>
        </w:r>
      </w:hyperlink>
    </w:p>
    <w:p>
      <w:pPr>
        <w:numPr>
          <w:ilvl w:val="0"/>
          <w:numId w:val="1027"/>
        </w:numPr>
      </w:pPr>
      <w:bookmarkStart w:id="251" w:name="user-content-fn-38"/>
      <w:r>
        <w:rPr>
          <w:lang w:val="en"/>
        </w:rPr>
        <w:t xml:space="preserve">¶38</w:t>
      </w:r>
      <w:r>
        <w:rPr>
          <w:lang w:val="en"/>
        </w:rPr>
        <w:t xml:space="preserve"> </w:t>
      </w:r>
      <w:bookmarkEnd w:id="251"/>
    </w:p>
    <w:p>
      <w:pPr>
        <w:numPr>
          <w:ilvl w:val="0"/>
          <w:numId w:val="1000"/>
        </w:numPr>
      </w:pPr>
      <w:r>
        <w:rPr>
          <w:lang w:val="en"/>
        </w:rPr>
        <w:t xml:space="preserve">IPCC (2013), Wetlands Supplement, Chapter 4; Murdiyarso et al. (2023) on national-scale Tier 2 methodology in Indonesia; Howard et al. (2014) on Tier 3 field protocols.</w:t>
      </w:r>
      <w:r>
        <w:rPr>
          <w:lang w:val="en"/>
        </w:rPr>
        <w:t xml:space="preserve"> </w:t>
      </w:r>
      <w:hyperlink w:anchor="user-content-fnref-38">
        <w:r>
          <w:rPr>
            <w:rStyle w:val="Hyperlink"/>
            <w:lang w:val="en"/>
          </w:rPr>
          <w:t xml:space="preserve">↩</w:t>
        </w:r>
      </w:hyperlink>
    </w:p>
    <w:p>
      <w:pPr>
        <w:numPr>
          <w:ilvl w:val="0"/>
          <w:numId w:val="1027"/>
        </w:numPr>
      </w:pPr>
      <w:bookmarkStart w:id="252" w:name="user-content-fn-39"/>
      <w:r>
        <w:rPr>
          <w:lang w:val="en"/>
        </w:rPr>
        <w:t xml:space="preserve">¶39</w:t>
      </w:r>
      <w:r>
        <w:rPr>
          <w:lang w:val="en"/>
        </w:rPr>
        <w:t xml:space="preserve"> </w:t>
      </w:r>
      <w:bookmarkEnd w:id="252"/>
    </w:p>
    <w:p>
      <w:pPr>
        <w:numPr>
          <w:ilvl w:val="0"/>
          <w:numId w:val="1000"/>
        </w:numPr>
      </w:pPr>
      <w:r>
        <w:rPr>
          <w:lang w:val="en"/>
        </w:rPr>
        <w:t xml:space="preserve">Komiyama et al. (2005) pantropical equations; Price et al. (2024) on transatlantic species validation; Butler et al. (2025) on saltmarsh allometry; Howard et al. (2014) on destructive harvest protocols.</w:t>
      </w:r>
      <w:r>
        <w:rPr>
          <w:lang w:val="en"/>
        </w:rPr>
        <w:t xml:space="preserve"> </w:t>
      </w:r>
      <w:hyperlink w:anchor="user-content-fnref-39">
        <w:r>
          <w:rPr>
            <w:rStyle w:val="Hyperlink"/>
            <w:lang w:val="en"/>
          </w:rPr>
          <w:t xml:space="preserve">↩</w:t>
        </w:r>
      </w:hyperlink>
    </w:p>
    <w:p>
      <w:pPr>
        <w:numPr>
          <w:ilvl w:val="0"/>
          <w:numId w:val="1027"/>
        </w:numPr>
      </w:pPr>
      <w:bookmarkStart w:id="253" w:name="user-content-fn-40"/>
      <w:r>
        <w:rPr>
          <w:lang w:val="en"/>
        </w:rPr>
        <w:t xml:space="preserve">¶40</w:t>
      </w:r>
      <w:r>
        <w:rPr>
          <w:lang w:val="en"/>
        </w:rPr>
        <w:t xml:space="preserve"> </w:t>
      </w:r>
      <w:bookmarkEnd w:id="253"/>
    </w:p>
    <w:p>
      <w:pPr>
        <w:numPr>
          <w:ilvl w:val="0"/>
          <w:numId w:val="1000"/>
        </w:numPr>
      </w:pPr>
      <w:r>
        <w:rPr>
          <w:lang w:val="en"/>
        </w:rPr>
        <w:t xml:space="preserve">Berger et al. (2020) on allometric uncertainty quantification; SEEA EA conventions on uncertainty reporting in metadata rather than account tables.</w:t>
      </w:r>
      <w:r>
        <w:rPr>
          <w:lang w:val="en"/>
        </w:rPr>
        <w:t xml:space="preserve"> </w:t>
      </w:r>
      <w:hyperlink w:anchor="user-content-fnref-40">
        <w:r>
          <w:rPr>
            <w:rStyle w:val="Hyperlink"/>
            <w:lang w:val="en"/>
          </w:rPr>
          <w:t xml:space="preserve">↩</w:t>
        </w:r>
      </w:hyperlink>
    </w:p>
    <w:p>
      <w:pPr>
        <w:numPr>
          <w:ilvl w:val="0"/>
          <w:numId w:val="1027"/>
        </w:numPr>
      </w:pPr>
      <w:bookmarkStart w:id="254" w:name="user-content-fn-41"/>
      <w:r>
        <w:rPr>
          <w:lang w:val="en"/>
        </w:rPr>
        <w:t xml:space="preserve">¶41</w:t>
      </w:r>
      <w:r>
        <w:rPr>
          <w:lang w:val="en"/>
        </w:rPr>
        <w:t xml:space="preserve"> </w:t>
      </w:r>
      <w:bookmarkEnd w:id="254"/>
    </w:p>
    <w:p>
      <w:pPr>
        <w:numPr>
          <w:ilvl w:val="0"/>
          <w:numId w:val="1000"/>
        </w:numPr>
      </w:pPr>
      <w:r>
        <w:rPr>
          <w:lang w:val="en"/>
        </w:rPr>
        <w:t xml:space="preserve">The distinction between carbon storage (stock) and sequestration (flow) is fundamental to carbon accounting; see SEEA Valuation Section 4.2.9.</w:t>
      </w:r>
      <w:r>
        <w:rPr>
          <w:lang w:val="en"/>
        </w:rPr>
        <w:t xml:space="preserve"> </w:t>
      </w:r>
      <w:hyperlink w:anchor="user-content-fnref-41">
        <w:r>
          <w:rPr>
            <w:rStyle w:val="Hyperlink"/>
            <w:lang w:val="en"/>
          </w:rPr>
          <w:t xml:space="preserve">↩</w:t>
        </w:r>
      </w:hyperlink>
    </w:p>
    <w:p>
      <w:pPr>
        <w:numPr>
          <w:ilvl w:val="0"/>
          <w:numId w:val="1027"/>
        </w:numPr>
      </w:pPr>
      <w:bookmarkStart w:id="255" w:name="user-content-fn-42"/>
      <w:r>
        <w:rPr>
          <w:lang w:val="en"/>
        </w:rPr>
        <w:t xml:space="preserve">¶42</w:t>
      </w:r>
      <w:r>
        <w:rPr>
          <w:lang w:val="en"/>
        </w:rPr>
        <w:t xml:space="preserve"> </w:t>
      </w:r>
      <w:bookmarkEnd w:id="255"/>
    </w:p>
    <w:p>
      <w:pPr>
        <w:numPr>
          <w:ilvl w:val="0"/>
          <w:numId w:val="1000"/>
        </w:numPr>
      </w:pPr>
      <w:r>
        <w:rPr>
          <w:lang w:val="en"/>
        </w:rPr>
        <w:t xml:space="preserve">SEEA Valuation, Section 4.2.9 on carbon sequestration measurement.</w:t>
      </w:r>
      <w:r>
        <w:rPr>
          <w:lang w:val="en"/>
        </w:rPr>
        <w:t xml:space="preserve"> </w:t>
      </w:r>
      <w:hyperlink w:anchor="user-content-fnref-42">
        <w:r>
          <w:rPr>
            <w:rStyle w:val="Hyperlink"/>
            <w:lang w:val="en"/>
          </w:rPr>
          <w:t xml:space="preserve">↩</w:t>
        </w:r>
      </w:hyperlink>
    </w:p>
    <w:p>
      <w:pPr>
        <w:numPr>
          <w:ilvl w:val="0"/>
          <w:numId w:val="1027"/>
        </w:numPr>
      </w:pPr>
      <w:bookmarkStart w:id="256" w:name="user-content-fn-43"/>
      <w:r>
        <w:rPr>
          <w:lang w:val="en"/>
        </w:rPr>
        <w:t xml:space="preserve">¶43</w:t>
      </w:r>
      <w:r>
        <w:rPr>
          <w:lang w:val="en"/>
        </w:rPr>
        <w:t xml:space="preserve"> </w:t>
      </w:r>
      <w:bookmarkEnd w:id="256"/>
    </w:p>
    <w:p>
      <w:pPr>
        <w:numPr>
          <w:ilvl w:val="0"/>
          <w:numId w:val="1000"/>
        </w:numPr>
      </w:pPr>
      <w:r>
        <w:rPr>
          <w:lang w:val="en"/>
        </w:rPr>
        <w:t xml:space="preserve">Duarte et al. (2005); Mcleod et al. (2011) on mangrove carbon sequestration rates.</w:t>
      </w:r>
      <w:r>
        <w:rPr>
          <w:lang w:val="en"/>
        </w:rPr>
        <w:t xml:space="preserve"> </w:t>
      </w:r>
      <w:hyperlink w:anchor="user-content-fnref-43">
        <w:r>
          <w:rPr>
            <w:rStyle w:val="Hyperlink"/>
            <w:lang w:val="en"/>
          </w:rPr>
          <w:t xml:space="preserve">↩</w:t>
        </w:r>
      </w:hyperlink>
    </w:p>
    <w:p>
      <w:pPr>
        <w:numPr>
          <w:ilvl w:val="0"/>
          <w:numId w:val="1027"/>
        </w:numPr>
      </w:pPr>
      <w:bookmarkStart w:id="257" w:name="user-content-fn-44"/>
      <w:r>
        <w:rPr>
          <w:lang w:val="en"/>
        </w:rPr>
        <w:t xml:space="preserve">¶44</w:t>
      </w:r>
      <w:r>
        <w:rPr>
          <w:lang w:val="en"/>
        </w:rPr>
        <w:t xml:space="preserve"> </w:t>
      </w:r>
      <w:bookmarkEnd w:id="257"/>
    </w:p>
    <w:p>
      <w:pPr>
        <w:numPr>
          <w:ilvl w:val="0"/>
          <w:numId w:val="1000"/>
        </w:numPr>
      </w:pPr>
      <w:r>
        <w:rPr>
          <w:lang w:val="en"/>
        </w:rPr>
        <w:t xml:space="preserve">Chmura et al. (2003) on saltmarsh carbon sequestration.</w:t>
      </w:r>
      <w:r>
        <w:rPr>
          <w:lang w:val="en"/>
        </w:rPr>
        <w:t xml:space="preserve"> </w:t>
      </w:r>
      <w:hyperlink w:anchor="user-content-fnref-44">
        <w:r>
          <w:rPr>
            <w:rStyle w:val="Hyperlink"/>
            <w:lang w:val="en"/>
          </w:rPr>
          <w:t xml:space="preserve">↩</w:t>
        </w:r>
      </w:hyperlink>
    </w:p>
    <w:p>
      <w:pPr>
        <w:numPr>
          <w:ilvl w:val="0"/>
          <w:numId w:val="1027"/>
        </w:numPr>
      </w:pPr>
      <w:bookmarkStart w:id="258" w:name="user-content-fn-37"/>
      <w:r>
        <w:rPr>
          <w:lang w:val="en"/>
        </w:rPr>
        <w:t xml:space="preserve">¶45</w:t>
      </w:r>
      <w:r>
        <w:rPr>
          <w:lang w:val="en"/>
        </w:rPr>
        <w:t xml:space="preserve"> </w:t>
      </w:r>
      <w:bookmarkEnd w:id="258"/>
    </w:p>
    <w:p>
      <w:pPr>
        <w:numPr>
          <w:ilvl w:val="0"/>
          <w:numId w:val="1000"/>
        </w:numPr>
      </w:pPr>
      <w:r>
        <w:rPr>
          <w:lang w:val="en"/>
        </w:rPr>
        <w:t xml:space="preserve">SEEA Valuation, Section 4.2.9 on carbon retention scope.</w:t>
      </w:r>
      <w:r>
        <w:rPr>
          <w:lang w:val="en"/>
        </w:rPr>
        <w:t xml:space="preserve"> </w:t>
      </w:r>
      <w:hyperlink w:anchor="user-content-fnref-37">
        <w:r>
          <w:rPr>
            <w:rStyle w:val="Hyperlink"/>
            <w:lang w:val="en"/>
          </w:rPr>
          <w:t xml:space="preserve">↩</w:t>
        </w:r>
      </w:hyperlink>
    </w:p>
    <w:p>
      <w:pPr>
        <w:numPr>
          <w:ilvl w:val="0"/>
          <w:numId w:val="1027"/>
        </w:numPr>
      </w:pPr>
      <w:bookmarkStart w:id="259" w:name="user-content-fn-85"/>
      <w:r>
        <w:rPr>
          <w:lang w:val="en"/>
        </w:rPr>
        <w:t xml:space="preserve">¶46</w:t>
      </w:r>
      <w:r>
        <w:rPr>
          <w:lang w:val="en"/>
        </w:rPr>
        <w:t xml:space="preserve"> </w:t>
      </w:r>
      <w:bookmarkEnd w:id="259"/>
    </w:p>
    <w:p>
      <w:pPr>
        <w:numPr>
          <w:ilvl w:val="0"/>
          <w:numId w:val="1000"/>
        </w:numPr>
      </w:pPr>
      <w:r>
        <w:rPr>
          <w:lang w:val="en"/>
        </w:rPr>
        <w:t xml:space="preserve">SEEA EA and SEEA Valuation recommend distinguishing carbon retention and sequestration components; Keith et al. (2019).</w:t>
      </w:r>
      <w:r>
        <w:rPr>
          <w:lang w:val="en"/>
        </w:rPr>
        <w:t xml:space="preserve"> </w:t>
      </w:r>
      <w:hyperlink w:anchor="user-content-fnref-85">
        <w:r>
          <w:rPr>
            <w:rStyle w:val="Hyperlink"/>
            <w:lang w:val="en"/>
          </w:rPr>
          <w:t xml:space="preserve">↩</w:t>
        </w:r>
      </w:hyperlink>
    </w:p>
    <w:p>
      <w:pPr>
        <w:numPr>
          <w:ilvl w:val="0"/>
          <w:numId w:val="1027"/>
        </w:numPr>
      </w:pPr>
      <w:bookmarkStart w:id="260" w:name="user-content-fn-45"/>
      <w:r>
        <w:rPr>
          <w:lang w:val="en"/>
        </w:rPr>
        <w:t xml:space="preserve">¶47</w:t>
      </w:r>
      <w:r>
        <w:rPr>
          <w:lang w:val="en"/>
        </w:rPr>
        <w:t xml:space="preserve"> </w:t>
      </w:r>
      <w:bookmarkEnd w:id="260"/>
    </w:p>
    <w:p>
      <w:pPr>
        <w:numPr>
          <w:ilvl w:val="0"/>
          <w:numId w:val="1000"/>
        </w:numPr>
      </w:pPr>
      <w:r>
        <w:rPr>
          <w:lang w:val="en"/>
        </w:rPr>
        <w:t xml:space="preserve">Arias-Ortiz et al. (2018) global synthesis of 210Pb-derived carbon accumulation rates.</w:t>
      </w:r>
      <w:r>
        <w:rPr>
          <w:lang w:val="en"/>
        </w:rPr>
        <w:t xml:space="preserve"> </w:t>
      </w:r>
      <w:hyperlink w:anchor="user-content-fnref-45">
        <w:r>
          <w:rPr>
            <w:rStyle w:val="Hyperlink"/>
            <w:lang w:val="en"/>
          </w:rPr>
          <w:t xml:space="preserve">↩</w:t>
        </w:r>
      </w:hyperlink>
    </w:p>
    <w:p>
      <w:pPr>
        <w:numPr>
          <w:ilvl w:val="0"/>
          <w:numId w:val="1027"/>
        </w:numPr>
      </w:pPr>
      <w:bookmarkStart w:id="261" w:name="user-content-fn-46"/>
      <w:r>
        <w:rPr>
          <w:lang w:val="en"/>
        </w:rPr>
        <w:t xml:space="preserve">¶48</w:t>
      </w:r>
      <w:r>
        <w:rPr>
          <w:lang w:val="en"/>
        </w:rPr>
        <w:t xml:space="preserve"> </w:t>
      </w:r>
      <w:bookmarkEnd w:id="261"/>
    </w:p>
    <w:p>
      <w:pPr>
        <w:numPr>
          <w:ilvl w:val="0"/>
          <w:numId w:val="1000"/>
        </w:numPr>
      </w:pPr>
      <w:r>
        <w:rPr>
          <w:lang w:val="en"/>
        </w:rPr>
        <w:t xml:space="preserve">Cahoon et al. (1995) on the feldspar marker horizon technique; Piñeiro-Juncal et al. (2023) on mixed layer corrections and burial rate quantification.</w:t>
      </w:r>
      <w:r>
        <w:rPr>
          <w:lang w:val="en"/>
        </w:rPr>
        <w:t xml:space="preserve"> </w:t>
      </w:r>
      <w:hyperlink w:anchor="user-content-fnref-46">
        <w:r>
          <w:rPr>
            <w:rStyle w:val="Hyperlink"/>
            <w:lang w:val="en"/>
          </w:rPr>
          <w:t xml:space="preserve">↩</w:t>
        </w:r>
      </w:hyperlink>
    </w:p>
    <w:p>
      <w:pPr>
        <w:numPr>
          <w:ilvl w:val="0"/>
          <w:numId w:val="1027"/>
        </w:numPr>
      </w:pPr>
      <w:bookmarkStart w:id="262" w:name="user-content-fn-47"/>
      <w:r>
        <w:rPr>
          <w:lang w:val="en"/>
        </w:rPr>
        <w:t xml:space="preserve">¶49</w:t>
      </w:r>
      <w:r>
        <w:rPr>
          <w:lang w:val="en"/>
        </w:rPr>
        <w:t xml:space="preserve"> </w:t>
      </w:r>
      <w:bookmarkEnd w:id="262"/>
    </w:p>
    <w:p>
      <w:pPr>
        <w:numPr>
          <w:ilvl w:val="0"/>
          <w:numId w:val="1000"/>
        </w:numPr>
      </w:pPr>
      <w:r>
        <w:rPr>
          <w:lang w:val="en"/>
        </w:rPr>
        <w:t xml:space="preserve">SEEA EA, paras 6.110-6.115 on disturbance treatment in ecosystem accounts; IPCC 2013 Wetlands Supplement, Chapter 4.</w:t>
      </w:r>
      <w:r>
        <w:rPr>
          <w:lang w:val="en"/>
        </w:rPr>
        <w:t xml:space="preserve"> </w:t>
      </w:r>
      <w:hyperlink w:anchor="user-content-fnref-47">
        <w:r>
          <w:rPr>
            <w:rStyle w:val="Hyperlink"/>
            <w:lang w:val="en"/>
          </w:rPr>
          <w:t xml:space="preserve">↩</w:t>
        </w:r>
      </w:hyperlink>
    </w:p>
    <w:p>
      <w:pPr>
        <w:numPr>
          <w:ilvl w:val="0"/>
          <w:numId w:val="1027"/>
        </w:numPr>
      </w:pPr>
      <w:bookmarkStart w:id="263" w:name="user-content-fn-48"/>
      <w:r>
        <w:rPr>
          <w:lang w:val="en"/>
        </w:rPr>
        <w:t xml:space="preserve">¶50</w:t>
      </w:r>
      <w:r>
        <w:rPr>
          <w:lang w:val="en"/>
        </w:rPr>
        <w:t xml:space="preserve"> </w:t>
      </w:r>
      <w:bookmarkEnd w:id="263"/>
    </w:p>
    <w:p>
      <w:pPr>
        <w:numPr>
          <w:ilvl w:val="0"/>
          <w:numId w:val="1000"/>
        </w:numPr>
      </w:pPr>
      <w:r>
        <w:rPr>
          <w:lang w:val="en"/>
        </w:rPr>
        <w:t xml:space="preserve">UNSD/SEEA Technical Committee (2025), Draft Guidance Note D1 — Carbon Stock Account; UNSD/SEEA Technical Committee (2025), Draft Guidance Note B3; IPCC (2013), Wetlands Supplement, Chapter 4 emission factors for conversion events.</w:t>
      </w:r>
      <w:r>
        <w:rPr>
          <w:lang w:val="en"/>
        </w:rPr>
        <w:t xml:space="preserve"> </w:t>
      </w:r>
      <w:hyperlink w:anchor="user-content-fnref-48">
        <w:r>
          <w:rPr>
            <w:rStyle w:val="Hyperlink"/>
            <w:lang w:val="en"/>
          </w:rPr>
          <w:t xml:space="preserve">↩</w:t>
        </w:r>
      </w:hyperlink>
    </w:p>
    <w:p>
      <w:pPr>
        <w:numPr>
          <w:ilvl w:val="0"/>
          <w:numId w:val="1027"/>
        </w:numPr>
      </w:pPr>
      <w:bookmarkStart w:id="264" w:name="user-content-fn-49"/>
      <w:r>
        <w:rPr>
          <w:lang w:val="en"/>
        </w:rPr>
        <w:t xml:space="preserve">¶51</w:t>
      </w:r>
      <w:r>
        <w:rPr>
          <w:lang w:val="en"/>
        </w:rPr>
        <w:t xml:space="preserve"> </w:t>
      </w:r>
      <w:bookmarkEnd w:id="264"/>
    </w:p>
    <w:p>
      <w:pPr>
        <w:numPr>
          <w:ilvl w:val="0"/>
          <w:numId w:val="1000"/>
        </w:numPr>
      </w:pPr>
      <w:r>
        <w:rPr>
          <w:lang w:val="en"/>
        </w:rPr>
        <w:t xml:space="preserve">SEEA EA, paras 6.110-6.115.</w:t>
      </w:r>
      <w:r>
        <w:rPr>
          <w:lang w:val="en"/>
        </w:rPr>
        <w:t xml:space="preserve"> </w:t>
      </w:r>
      <w:hyperlink w:anchor="user-content-fnref-49">
        <w:r>
          <w:rPr>
            <w:rStyle w:val="Hyperlink"/>
            <w:lang w:val="en"/>
          </w:rPr>
          <w:t xml:space="preserve">↩</w:t>
        </w:r>
      </w:hyperlink>
    </w:p>
    <w:p>
      <w:pPr>
        <w:numPr>
          <w:ilvl w:val="0"/>
          <w:numId w:val="1027"/>
        </w:numPr>
      </w:pPr>
      <w:bookmarkStart w:id="265" w:name="user-content-fn-50"/>
      <w:r>
        <w:rPr>
          <w:lang w:val="en"/>
        </w:rPr>
        <w:t xml:space="preserve">¶52</w:t>
      </w:r>
      <w:r>
        <w:rPr>
          <w:lang w:val="en"/>
        </w:rPr>
        <w:t xml:space="preserve"> </w:t>
      </w:r>
      <w:bookmarkEnd w:id="265"/>
    </w:p>
    <w:p>
      <w:pPr>
        <w:numPr>
          <w:ilvl w:val="0"/>
          <w:numId w:val="1000"/>
        </w:numPr>
      </w:pPr>
      <w:r>
        <w:rPr>
          <w:lang w:val="en"/>
        </w:rPr>
        <w:t xml:space="preserve">SEEA EA, para 6.114; Verra (2018), VM0033; Bertram et al. (2021) on blue carbon wealth of nations and risk assessment.</w:t>
      </w:r>
      <w:r>
        <w:rPr>
          <w:lang w:val="en"/>
        </w:rPr>
        <w:t xml:space="preserve"> </w:t>
      </w:r>
      <w:hyperlink w:anchor="user-content-fnref-50">
        <w:r>
          <w:rPr>
            <w:rStyle w:val="Hyperlink"/>
            <w:lang w:val="en"/>
          </w:rPr>
          <w:t xml:space="preserve">↩</w:t>
        </w:r>
      </w:hyperlink>
    </w:p>
    <w:p>
      <w:pPr>
        <w:numPr>
          <w:ilvl w:val="0"/>
          <w:numId w:val="1027"/>
        </w:numPr>
      </w:pPr>
      <w:bookmarkStart w:id="266" w:name="user-content-fn-51"/>
      <w:r>
        <w:rPr>
          <w:lang w:val="en"/>
        </w:rPr>
        <w:t xml:space="preserve">¶53</w:t>
      </w:r>
      <w:r>
        <w:rPr>
          <w:lang w:val="en"/>
        </w:rPr>
        <w:t xml:space="preserve"> </w:t>
      </w:r>
      <w:bookmarkEnd w:id="266"/>
    </w:p>
    <w:p>
      <w:pPr>
        <w:numPr>
          <w:ilvl w:val="0"/>
          <w:numId w:val="1000"/>
        </w:numPr>
      </w:pPr>
      <w:r>
        <w:rPr>
          <w:lang w:val="en"/>
        </w:rPr>
        <w:t xml:space="preserve">Rosentreter et al. (2021, 2022); UNSD/SEEA Technical Committee (2025), Draft Guidance Note D1.</w:t>
      </w:r>
      <w:r>
        <w:rPr>
          <w:lang w:val="en"/>
        </w:rPr>
        <w:t xml:space="preserve"> </w:t>
      </w:r>
      <w:hyperlink w:anchor="user-content-fnref-51">
        <w:r>
          <w:rPr>
            <w:rStyle w:val="Hyperlink"/>
            <w:lang w:val="en"/>
          </w:rPr>
          <w:t xml:space="preserve">↩</w:t>
        </w:r>
      </w:hyperlink>
    </w:p>
    <w:p>
      <w:pPr>
        <w:numPr>
          <w:ilvl w:val="0"/>
          <w:numId w:val="1027"/>
        </w:numPr>
      </w:pPr>
      <w:bookmarkStart w:id="267" w:name="user-content-fn-52"/>
      <w:r>
        <w:rPr>
          <w:lang w:val="en"/>
        </w:rPr>
        <w:t xml:space="preserve">¶54</w:t>
      </w:r>
      <w:r>
        <w:rPr>
          <w:lang w:val="en"/>
        </w:rPr>
        <w:t xml:space="preserve"> </w:t>
      </w:r>
      <w:bookmarkEnd w:id="267"/>
    </w:p>
    <w:p>
      <w:pPr>
        <w:numPr>
          <w:ilvl w:val="0"/>
          <w:numId w:val="1000"/>
        </w:numPr>
      </w:pPr>
      <w:r>
        <w:rPr>
          <w:lang w:val="en"/>
        </w:rPr>
        <w:t xml:space="preserve">Bouillon et al. (2008) on mangrove carbon export; High Level Panel for a Sustainable Ocean Economy (2023), Blue Carbon Handbook; Howard et al. (2014).</w:t>
      </w:r>
      <w:r>
        <w:rPr>
          <w:lang w:val="en"/>
        </w:rPr>
        <w:t xml:space="preserve"> </w:t>
      </w:r>
      <w:hyperlink w:anchor="user-content-fnref-52">
        <w:r>
          <w:rPr>
            <w:rStyle w:val="Hyperlink"/>
            <w:lang w:val="en"/>
          </w:rPr>
          <w:t xml:space="preserve">↩</w:t>
        </w:r>
      </w:hyperlink>
    </w:p>
    <w:p>
      <w:pPr>
        <w:numPr>
          <w:ilvl w:val="0"/>
          <w:numId w:val="1027"/>
        </w:numPr>
      </w:pPr>
      <w:bookmarkStart w:id="268" w:name="user-content-fn-53"/>
      <w:r>
        <w:rPr>
          <w:lang w:val="en"/>
        </w:rPr>
        <w:t xml:space="preserve">¶55</w:t>
      </w:r>
      <w:r>
        <w:rPr>
          <w:lang w:val="en"/>
        </w:rPr>
        <w:t xml:space="preserve"> </w:t>
      </w:r>
      <w:bookmarkEnd w:id="268"/>
    </w:p>
    <w:p>
      <w:pPr>
        <w:numPr>
          <w:ilvl w:val="0"/>
          <w:numId w:val="1000"/>
        </w:numPr>
      </w:pPr>
      <w:r>
        <w:rPr>
          <w:lang w:val="en"/>
        </w:rPr>
        <w:t xml:space="preserve">GFOI (2025), Blue Carbon Guidance for National GHG Inventories; UNSD/SEEA Technical Committee (2025), Draft Guidance Note D1; IPCC (2013), Wetlands Supplement, Chapter 4; Blue Carbon Partnership (2021).</w:t>
      </w:r>
      <w:r>
        <w:rPr>
          <w:lang w:val="en"/>
        </w:rPr>
        <w:t xml:space="preserve"> </w:t>
      </w:r>
      <w:hyperlink w:anchor="user-content-fnref-53">
        <w:r>
          <w:rPr>
            <w:rStyle w:val="Hyperlink"/>
            <w:lang w:val="en"/>
          </w:rPr>
          <w:t xml:space="preserve">↩</w:t>
        </w:r>
      </w:hyperlink>
    </w:p>
    <w:p>
      <w:pPr>
        <w:numPr>
          <w:ilvl w:val="0"/>
          <w:numId w:val="1027"/>
        </w:numPr>
      </w:pPr>
      <w:bookmarkStart w:id="269" w:name="user-content-fn-54"/>
      <w:r>
        <w:rPr>
          <w:lang w:val="en"/>
        </w:rPr>
        <w:t xml:space="preserve">¶56</w:t>
      </w:r>
      <w:r>
        <w:rPr>
          <w:lang w:val="en"/>
        </w:rPr>
        <w:t xml:space="preserve"> </w:t>
      </w:r>
      <w:bookmarkEnd w:id="269"/>
    </w:p>
    <w:p>
      <w:pPr>
        <w:numPr>
          <w:ilvl w:val="0"/>
          <w:numId w:val="1000"/>
        </w:numPr>
      </w:pPr>
      <w:r>
        <w:rPr>
          <w:lang w:val="en"/>
        </w:rPr>
        <w:t xml:space="preserve">SEEA EA, Section 6.3 on ecosystem service reference list includes coastal protection.</w:t>
      </w:r>
      <w:r>
        <w:rPr>
          <w:lang w:val="en"/>
        </w:rPr>
        <w:t xml:space="preserve"> </w:t>
      </w:r>
      <w:hyperlink w:anchor="user-content-fnref-54">
        <w:r>
          <w:rPr>
            <w:rStyle w:val="Hyperlink"/>
            <w:lang w:val="en"/>
          </w:rPr>
          <w:t xml:space="preserve">↩</w:t>
        </w:r>
      </w:hyperlink>
    </w:p>
    <w:p>
      <w:pPr>
        <w:numPr>
          <w:ilvl w:val="0"/>
          <w:numId w:val="1027"/>
        </w:numPr>
      </w:pPr>
      <w:bookmarkStart w:id="270" w:name="user-content-fn-55"/>
      <w:r>
        <w:rPr>
          <w:lang w:val="en"/>
        </w:rPr>
        <w:t xml:space="preserve">¶57</w:t>
      </w:r>
      <w:r>
        <w:rPr>
          <w:lang w:val="en"/>
        </w:rPr>
        <w:t xml:space="preserve"> </w:t>
      </w:r>
      <w:bookmarkEnd w:id="270"/>
    </w:p>
    <w:p>
      <w:pPr>
        <w:numPr>
          <w:ilvl w:val="0"/>
          <w:numId w:val="1000"/>
        </w:numPr>
      </w:pPr>
      <w:r>
        <w:rPr>
          <w:lang w:val="en"/>
        </w:rPr>
        <w:t xml:space="preserve">SEEA Valuation, Section 4.2.13 on coastal protection definition.</w:t>
      </w:r>
      <w:r>
        <w:rPr>
          <w:lang w:val="en"/>
        </w:rPr>
        <w:t xml:space="preserve"> </w:t>
      </w:r>
      <w:hyperlink w:anchor="user-content-fnref-55">
        <w:r>
          <w:rPr>
            <w:rStyle w:val="Hyperlink"/>
            <w:lang w:val="en"/>
          </w:rPr>
          <w:t xml:space="preserve">↩</w:t>
        </w:r>
      </w:hyperlink>
    </w:p>
    <w:p>
      <w:pPr>
        <w:numPr>
          <w:ilvl w:val="0"/>
          <w:numId w:val="1027"/>
        </w:numPr>
      </w:pPr>
      <w:bookmarkStart w:id="271" w:name="user-content-fn-56"/>
      <w:r>
        <w:rPr>
          <w:lang w:val="en"/>
        </w:rPr>
        <w:t xml:space="preserve">¶58</w:t>
      </w:r>
      <w:r>
        <w:rPr>
          <w:lang w:val="en"/>
        </w:rPr>
        <w:t xml:space="preserve"> </w:t>
      </w:r>
      <w:bookmarkEnd w:id="271"/>
    </w:p>
    <w:p>
      <w:pPr>
        <w:numPr>
          <w:ilvl w:val="0"/>
          <w:numId w:val="1000"/>
        </w:numPr>
      </w:pPr>
      <w:r>
        <w:rPr>
          <w:lang w:val="en"/>
        </w:rPr>
        <w:t xml:space="preserve">Wave attenuation by mangroves has been extensively studied; see McIvor et al. (2012) review.</w:t>
      </w:r>
      <w:r>
        <w:rPr>
          <w:lang w:val="en"/>
        </w:rPr>
        <w:t xml:space="preserve"> </w:t>
      </w:r>
      <w:hyperlink w:anchor="user-content-fnref-56">
        <w:r>
          <w:rPr>
            <w:rStyle w:val="Hyperlink"/>
            <w:lang w:val="en"/>
          </w:rPr>
          <w:t xml:space="preserve">↩</w:t>
        </w:r>
      </w:hyperlink>
    </w:p>
    <w:p>
      <w:pPr>
        <w:numPr>
          <w:ilvl w:val="0"/>
          <w:numId w:val="1027"/>
        </w:numPr>
      </w:pPr>
      <w:bookmarkStart w:id="272" w:name="user-content-fn-57"/>
      <w:r>
        <w:rPr>
          <w:lang w:val="en"/>
        </w:rPr>
        <w:t xml:space="preserve">¶59</w:t>
      </w:r>
      <w:r>
        <w:rPr>
          <w:lang w:val="en"/>
        </w:rPr>
        <w:t xml:space="preserve"> </w:t>
      </w:r>
      <w:bookmarkEnd w:id="272"/>
    </w:p>
    <w:p>
      <w:pPr>
        <w:numPr>
          <w:ilvl w:val="0"/>
          <w:numId w:val="1000"/>
        </w:numPr>
      </w:pPr>
      <w:r>
        <w:rPr>
          <w:lang w:val="en"/>
        </w:rPr>
        <w:t xml:space="preserve">Wave attenuation rates vary widely; ranges from synthesis studies.</w:t>
      </w:r>
      <w:r>
        <w:rPr>
          <w:lang w:val="en"/>
        </w:rPr>
        <w:t xml:space="preserve"> </w:t>
      </w:r>
      <w:hyperlink w:anchor="user-content-fnref-57">
        <w:r>
          <w:rPr>
            <w:rStyle w:val="Hyperlink"/>
            <w:lang w:val="en"/>
          </w:rPr>
          <w:t xml:space="preserve">↩</w:t>
        </w:r>
      </w:hyperlink>
    </w:p>
    <w:p>
      <w:pPr>
        <w:numPr>
          <w:ilvl w:val="0"/>
          <w:numId w:val="1027"/>
        </w:numPr>
      </w:pPr>
      <w:bookmarkStart w:id="273" w:name="user-content-fn-58"/>
      <w:r>
        <w:rPr>
          <w:lang w:val="en"/>
        </w:rPr>
        <w:t xml:space="preserve">¶60</w:t>
      </w:r>
      <w:r>
        <w:rPr>
          <w:lang w:val="en"/>
        </w:rPr>
        <w:t xml:space="preserve"> </w:t>
      </w:r>
      <w:bookmarkEnd w:id="273"/>
    </w:p>
    <w:p>
      <w:pPr>
        <w:numPr>
          <w:ilvl w:val="0"/>
          <w:numId w:val="1000"/>
        </w:numPr>
      </w:pPr>
      <w:r>
        <w:rPr>
          <w:lang w:val="en"/>
        </w:rPr>
        <w:t xml:space="preserve">Saltmarsh wave attenuation from Moller et al. (2014) and related studies.</w:t>
      </w:r>
      <w:r>
        <w:rPr>
          <w:lang w:val="en"/>
        </w:rPr>
        <w:t xml:space="preserve"> </w:t>
      </w:r>
      <w:hyperlink w:anchor="user-content-fnref-58">
        <w:r>
          <w:rPr>
            <w:rStyle w:val="Hyperlink"/>
            <w:lang w:val="en"/>
          </w:rPr>
          <w:t xml:space="preserve">↩</w:t>
        </w:r>
      </w:hyperlink>
    </w:p>
    <w:p>
      <w:pPr>
        <w:numPr>
          <w:ilvl w:val="0"/>
          <w:numId w:val="1027"/>
        </w:numPr>
      </w:pPr>
      <w:bookmarkStart w:id="274" w:name="user-content-fn-59"/>
      <w:r>
        <w:rPr>
          <w:lang w:val="en"/>
        </w:rPr>
        <w:t xml:space="preserve">¶61</w:t>
      </w:r>
      <w:r>
        <w:rPr>
          <w:lang w:val="en"/>
        </w:rPr>
        <w:t xml:space="preserve"> </w:t>
      </w:r>
      <w:bookmarkEnd w:id="274"/>
    </w:p>
    <w:p>
      <w:pPr>
        <w:numPr>
          <w:ilvl w:val="0"/>
          <w:numId w:val="1000"/>
        </w:numPr>
      </w:pPr>
      <w:r>
        <w:rPr>
          <w:lang w:val="en"/>
        </w:rPr>
        <w:t xml:space="preserve">Storm surge attenuation mechanisms differ from wave attenuation; both contribute to coastal protection.</w:t>
      </w:r>
      <w:r>
        <w:rPr>
          <w:lang w:val="en"/>
        </w:rPr>
        <w:t xml:space="preserve"> </w:t>
      </w:r>
      <w:hyperlink w:anchor="user-content-fnref-59">
        <w:r>
          <w:rPr>
            <w:rStyle w:val="Hyperlink"/>
            <w:lang w:val="en"/>
          </w:rPr>
          <w:t xml:space="preserve">↩</w:t>
        </w:r>
      </w:hyperlink>
    </w:p>
    <w:p>
      <w:pPr>
        <w:numPr>
          <w:ilvl w:val="0"/>
          <w:numId w:val="1027"/>
        </w:numPr>
      </w:pPr>
      <w:bookmarkStart w:id="275" w:name="user-content-fn-60"/>
      <w:r>
        <w:rPr>
          <w:lang w:val="en"/>
        </w:rPr>
        <w:t xml:space="preserve">¶62</w:t>
      </w:r>
      <w:r>
        <w:rPr>
          <w:lang w:val="en"/>
        </w:rPr>
        <w:t xml:space="preserve"> </w:t>
      </w:r>
      <w:bookmarkEnd w:id="275"/>
    </w:p>
    <w:p>
      <w:pPr>
        <w:numPr>
          <w:ilvl w:val="0"/>
          <w:numId w:val="1000"/>
        </w:numPr>
      </w:pPr>
      <w:r>
        <w:rPr>
          <w:lang w:val="en"/>
        </w:rPr>
        <w:t xml:space="preserve">Storm surge reduction estimates from Krauss et al. (2009) and related studies.</w:t>
      </w:r>
      <w:r>
        <w:rPr>
          <w:lang w:val="en"/>
        </w:rPr>
        <w:t xml:space="preserve"> </w:t>
      </w:r>
      <w:hyperlink w:anchor="user-content-fnref-60">
        <w:r>
          <w:rPr>
            <w:rStyle w:val="Hyperlink"/>
            <w:lang w:val="en"/>
          </w:rPr>
          <w:t xml:space="preserve">↩</w:t>
        </w:r>
      </w:hyperlink>
    </w:p>
    <w:p>
      <w:pPr>
        <w:numPr>
          <w:ilvl w:val="0"/>
          <w:numId w:val="1027"/>
        </w:numPr>
      </w:pPr>
      <w:bookmarkStart w:id="276" w:name="user-content-fn-61"/>
      <w:r>
        <w:rPr>
          <w:lang w:val="en"/>
        </w:rPr>
        <w:t xml:space="preserve">¶63</w:t>
      </w:r>
      <w:r>
        <w:rPr>
          <w:lang w:val="en"/>
        </w:rPr>
        <w:t xml:space="preserve"> </w:t>
      </w:r>
      <w:bookmarkEnd w:id="276"/>
    </w:p>
    <w:p>
      <w:pPr>
        <w:numPr>
          <w:ilvl w:val="0"/>
          <w:numId w:val="1000"/>
        </w:numPr>
      </w:pPr>
      <w:r>
        <w:rPr>
          <w:lang w:val="en"/>
        </w:rPr>
        <w:t xml:space="preserve">SEEA Valuation, Section 4.2.13 references World Bank (2016).</w:t>
      </w:r>
      <w:r>
        <w:rPr>
          <w:lang w:val="en"/>
        </w:rPr>
        <w:t xml:space="preserve"> </w:t>
      </w:r>
      <w:hyperlink w:anchor="user-content-fnref-61">
        <w:r>
          <w:rPr>
            <w:rStyle w:val="Hyperlink"/>
            <w:lang w:val="en"/>
          </w:rPr>
          <w:t xml:space="preserve">↩</w:t>
        </w:r>
      </w:hyperlink>
    </w:p>
    <w:p>
      <w:pPr>
        <w:numPr>
          <w:ilvl w:val="0"/>
          <w:numId w:val="1027"/>
        </w:numPr>
      </w:pPr>
      <w:bookmarkStart w:id="277" w:name="user-content-fn-62"/>
      <w:r>
        <w:rPr>
          <w:lang w:val="en"/>
        </w:rPr>
        <w:t xml:space="preserve">¶64</w:t>
      </w:r>
      <w:r>
        <w:rPr>
          <w:lang w:val="en"/>
        </w:rPr>
        <w:t xml:space="preserve"> </w:t>
      </w:r>
      <w:bookmarkEnd w:id="277"/>
    </w:p>
    <w:p>
      <w:pPr>
        <w:numPr>
          <w:ilvl w:val="0"/>
          <w:numId w:val="1000"/>
        </w:numPr>
      </w:pPr>
      <w:r>
        <w:rPr>
          <w:lang w:val="en"/>
        </w:rPr>
        <w:t xml:space="preserve">World Bank (2016) provides detailed methodology for coastal protection measurement.</w:t>
      </w:r>
      <w:r>
        <w:rPr>
          <w:lang w:val="en"/>
        </w:rPr>
        <w:t xml:space="preserve"> </w:t>
      </w:r>
      <w:hyperlink w:anchor="user-content-fnref-62">
        <w:r>
          <w:rPr>
            <w:rStyle w:val="Hyperlink"/>
            <w:lang w:val="en"/>
          </w:rPr>
          <w:t xml:space="preserve">↩</w:t>
        </w:r>
      </w:hyperlink>
    </w:p>
    <w:p>
      <w:pPr>
        <w:numPr>
          <w:ilvl w:val="0"/>
          <w:numId w:val="1027"/>
        </w:numPr>
      </w:pPr>
      <w:bookmarkStart w:id="278" w:name="user-content-fn-32"/>
      <w:r>
        <w:rPr>
          <w:lang w:val="en"/>
        </w:rPr>
        <w:t xml:space="preserve">¶65</w:t>
      </w:r>
      <w:r>
        <w:rPr>
          <w:lang w:val="en"/>
        </w:rPr>
        <w:t xml:space="preserve"> </w:t>
      </w:r>
      <w:bookmarkEnd w:id="278"/>
    </w:p>
    <w:p>
      <w:pPr>
        <w:numPr>
          <w:ilvl w:val="0"/>
          <w:numId w:val="1000"/>
        </w:numPr>
      </w:pPr>
      <w:r>
        <w:rPr>
          <w:lang w:val="en"/>
        </w:rPr>
        <w:t xml:space="preserve">Blue carbon terminology established by Nellemann et al. (2009); widely adopted in IPCC and UNFCCC contexts. For seagrass-specific guidance, see TG-6.3 Seagrass Ecosystem Accounting.</w:t>
      </w:r>
      <w:r>
        <w:rPr>
          <w:lang w:val="en"/>
        </w:rPr>
        <w:t xml:space="preserve"> </w:t>
      </w:r>
      <w:hyperlink w:anchor="user-content-fnref-32">
        <w:r>
          <w:rPr>
            <w:rStyle w:val="Hyperlink"/>
            <w:lang w:val="en"/>
          </w:rPr>
          <w:t xml:space="preserve">↩</w:t>
        </w:r>
      </w:hyperlink>
    </w:p>
    <w:p>
      <w:pPr>
        <w:numPr>
          <w:ilvl w:val="0"/>
          <w:numId w:val="1027"/>
        </w:numPr>
      </w:pPr>
      <w:bookmarkStart w:id="279" w:name="user-content-fn-86"/>
      <w:r>
        <w:rPr>
          <w:lang w:val="en"/>
        </w:rPr>
        <w:t xml:space="preserve">¶66</w:t>
      </w:r>
      <w:r>
        <w:rPr>
          <w:lang w:val="en"/>
        </w:rPr>
        <w:t xml:space="preserve"> </w:t>
      </w:r>
      <w:bookmarkEnd w:id="279"/>
    </w:p>
    <w:p>
      <w:pPr>
        <w:numPr>
          <w:ilvl w:val="0"/>
          <w:numId w:val="1000"/>
        </w:numPr>
      </w:pPr>
      <w:r>
        <w:rPr>
          <w:lang w:val="en"/>
        </w:rPr>
        <w:t xml:space="preserve">Ecological mechanisms of mangrove nursery function; see Nagelkerken et al. (2008).</w:t>
      </w:r>
      <w:r>
        <w:rPr>
          <w:lang w:val="en"/>
        </w:rPr>
        <w:t xml:space="preserve"> </w:t>
      </w:r>
      <w:hyperlink w:anchor="user-content-fnref-86">
        <w:r>
          <w:rPr>
            <w:rStyle w:val="Hyperlink"/>
            <w:lang w:val="en"/>
          </w:rPr>
          <w:t xml:space="preserve">↩</w:t>
        </w:r>
      </w:hyperlink>
    </w:p>
    <w:p>
      <w:pPr>
        <w:numPr>
          <w:ilvl w:val="0"/>
          <w:numId w:val="1027"/>
        </w:numPr>
      </w:pPr>
      <w:bookmarkStart w:id="280" w:name="user-content-fn-63"/>
      <w:r>
        <w:rPr>
          <w:lang w:val="en"/>
        </w:rPr>
        <w:t xml:space="preserve">¶67</w:t>
      </w:r>
      <w:r>
        <w:rPr>
          <w:lang w:val="en"/>
        </w:rPr>
        <w:t xml:space="preserve"> </w:t>
      </w:r>
      <w:bookmarkEnd w:id="280"/>
    </w:p>
    <w:p>
      <w:pPr>
        <w:numPr>
          <w:ilvl w:val="0"/>
          <w:numId w:val="1000"/>
        </w:numPr>
      </w:pPr>
      <w:r>
        <w:rPr>
          <w:lang w:val="en"/>
        </w:rPr>
        <w:t xml:space="preserve">SEEA EA reference list definition of nursery population and habitat maintenance services; SEEA Valuation, Section 4.2.14.</w:t>
      </w:r>
      <w:r>
        <w:rPr>
          <w:lang w:val="en"/>
        </w:rPr>
        <w:t xml:space="preserve"> </w:t>
      </w:r>
      <w:hyperlink w:anchor="user-content-fnref-63">
        <w:r>
          <w:rPr>
            <w:rStyle w:val="Hyperlink"/>
            <w:lang w:val="en"/>
          </w:rPr>
          <w:t xml:space="preserve">↩</w:t>
        </w:r>
      </w:hyperlink>
    </w:p>
    <w:p>
      <w:pPr>
        <w:numPr>
          <w:ilvl w:val="0"/>
          <w:numId w:val="1027"/>
        </w:numPr>
      </w:pPr>
      <w:bookmarkStart w:id="281" w:name="user-content-fn-64"/>
      <w:r>
        <w:rPr>
          <w:lang w:val="en"/>
        </w:rPr>
        <w:t xml:space="preserve">¶68</w:t>
      </w:r>
      <w:r>
        <w:rPr>
          <w:lang w:val="en"/>
        </w:rPr>
        <w:t xml:space="preserve"> </w:t>
      </w:r>
      <w:bookmarkEnd w:id="281"/>
    </w:p>
    <w:p>
      <w:pPr>
        <w:numPr>
          <w:ilvl w:val="0"/>
          <w:numId w:val="1000"/>
        </w:numPr>
      </w:pPr>
      <w:r>
        <w:rPr>
          <w:lang w:val="en"/>
        </w:rPr>
        <w:t xml:space="preserve">SEEA EA, para 6.15.</w:t>
      </w:r>
      <w:r>
        <w:rPr>
          <w:lang w:val="en"/>
        </w:rPr>
        <w:t xml:space="preserve"> </w:t>
      </w:r>
      <w:hyperlink w:anchor="user-content-fnref-64">
        <w:r>
          <w:rPr>
            <w:rStyle w:val="Hyperlink"/>
            <w:lang w:val="en"/>
          </w:rPr>
          <w:t xml:space="preserve">↩</w:t>
        </w:r>
      </w:hyperlink>
    </w:p>
    <w:p>
      <w:pPr>
        <w:numPr>
          <w:ilvl w:val="0"/>
          <w:numId w:val="1027"/>
        </w:numPr>
      </w:pPr>
      <w:bookmarkStart w:id="282" w:name="user-content-fn-65"/>
      <w:r>
        <w:rPr>
          <w:lang w:val="en"/>
        </w:rPr>
        <w:t xml:space="preserve">¶69</w:t>
      </w:r>
      <w:r>
        <w:rPr>
          <w:lang w:val="en"/>
        </w:rPr>
        <w:t xml:space="preserve"> </w:t>
      </w:r>
      <w:bookmarkEnd w:id="282"/>
    </w:p>
    <w:p>
      <w:pPr>
        <w:numPr>
          <w:ilvl w:val="0"/>
          <w:numId w:val="1000"/>
        </w:numPr>
      </w:pPr>
      <w:r>
        <w:rPr>
          <w:lang w:val="en"/>
        </w:rPr>
        <w:t xml:space="preserve">Quantifying nursery-fisheries linkages is essential but methodologically challenging.</w:t>
      </w:r>
      <w:r>
        <w:rPr>
          <w:lang w:val="en"/>
        </w:rPr>
        <w:t xml:space="preserve"> </w:t>
      </w:r>
      <w:hyperlink w:anchor="user-content-fnref-65">
        <w:r>
          <w:rPr>
            <w:rStyle w:val="Hyperlink"/>
            <w:lang w:val="en"/>
          </w:rPr>
          <w:t xml:space="preserve">↩</w:t>
        </w:r>
      </w:hyperlink>
    </w:p>
    <w:p>
      <w:pPr>
        <w:numPr>
          <w:ilvl w:val="0"/>
          <w:numId w:val="1027"/>
        </w:numPr>
      </w:pPr>
      <w:bookmarkStart w:id="283" w:name="user-content-fn-87"/>
      <w:r>
        <w:rPr>
          <w:lang w:val="en"/>
        </w:rPr>
        <w:t xml:space="preserve">¶70</w:t>
      </w:r>
      <w:r>
        <w:rPr>
          <w:lang w:val="en"/>
        </w:rPr>
        <w:t xml:space="preserve"> </w:t>
      </w:r>
      <w:bookmarkEnd w:id="283"/>
    </w:p>
    <w:p>
      <w:pPr>
        <w:numPr>
          <w:ilvl w:val="0"/>
          <w:numId w:val="1000"/>
        </w:numPr>
      </w:pPr>
      <w:r>
        <w:rPr>
          <w:lang w:val="en"/>
        </w:rPr>
        <w:t xml:space="preserve">Nursery function metrics following Beck et al. (2001) framework.</w:t>
      </w:r>
      <w:r>
        <w:rPr>
          <w:lang w:val="en"/>
        </w:rPr>
        <w:t xml:space="preserve"> </w:t>
      </w:r>
      <w:hyperlink w:anchor="user-content-fnref-87">
        <w:r>
          <w:rPr>
            <w:rStyle w:val="Hyperlink"/>
            <w:lang w:val="en"/>
          </w:rPr>
          <w:t xml:space="preserve">↩</w:t>
        </w:r>
      </w:hyperlink>
    </w:p>
    <w:p>
      <w:pPr>
        <w:numPr>
          <w:ilvl w:val="0"/>
          <w:numId w:val="1027"/>
        </w:numPr>
      </w:pPr>
      <w:bookmarkStart w:id="284" w:name="user-content-fn-66"/>
      <w:r>
        <w:rPr>
          <w:lang w:val="en"/>
        </w:rPr>
        <w:t xml:space="preserve">¶71</w:t>
      </w:r>
      <w:r>
        <w:rPr>
          <w:lang w:val="en"/>
        </w:rPr>
        <w:t xml:space="preserve"> </w:t>
      </w:r>
      <w:bookmarkEnd w:id="284"/>
    </w:p>
    <w:p>
      <w:pPr>
        <w:numPr>
          <w:ilvl w:val="0"/>
          <w:numId w:val="1000"/>
        </w:numPr>
      </w:pPr>
      <w:r>
        <w:rPr>
          <w:lang w:val="en"/>
        </w:rPr>
        <w:t xml:space="preserve">Multiple studies document mangrove-fisheries correlations; see Hutchison et al. (2014) meta-analysis.</w:t>
      </w:r>
      <w:r>
        <w:rPr>
          <w:lang w:val="en"/>
        </w:rPr>
        <w:t xml:space="preserve"> </w:t>
      </w:r>
      <w:hyperlink w:anchor="user-content-fnref-66">
        <w:r>
          <w:rPr>
            <w:rStyle w:val="Hyperlink"/>
            <w:lang w:val="en"/>
          </w:rPr>
          <w:t xml:space="preserve">↩</w:t>
        </w:r>
      </w:hyperlink>
    </w:p>
    <w:p>
      <w:pPr>
        <w:numPr>
          <w:ilvl w:val="0"/>
          <w:numId w:val="1027"/>
        </w:numPr>
      </w:pPr>
      <w:bookmarkStart w:id="285" w:name="user-content-fn-67"/>
      <w:r>
        <w:rPr>
          <w:lang w:val="en"/>
        </w:rPr>
        <w:t xml:space="preserve">¶72</w:t>
      </w:r>
      <w:r>
        <w:rPr>
          <w:lang w:val="en"/>
        </w:rPr>
        <w:t xml:space="preserve"> </w:t>
      </w:r>
      <w:bookmarkEnd w:id="285"/>
    </w:p>
    <w:p>
      <w:pPr>
        <w:numPr>
          <w:ilvl w:val="0"/>
          <w:numId w:val="1000"/>
        </w:numPr>
      </w:pPr>
      <w:r>
        <w:rPr>
          <w:lang w:val="en"/>
        </w:rPr>
        <w:t xml:space="preserve">SEEA Valuation, Section 4.2.14 citing Anneboina and Kumar (2017).</w:t>
      </w:r>
      <w:r>
        <w:rPr>
          <w:lang w:val="en"/>
        </w:rPr>
        <w:t xml:space="preserve"> </w:t>
      </w:r>
      <w:hyperlink w:anchor="user-content-fnref-67">
        <w:r>
          <w:rPr>
            <w:rStyle w:val="Hyperlink"/>
            <w:lang w:val="en"/>
          </w:rPr>
          <w:t xml:space="preserve">↩</w:t>
        </w:r>
      </w:hyperlink>
    </w:p>
    <w:p>
      <w:pPr>
        <w:numPr>
          <w:ilvl w:val="0"/>
          <w:numId w:val="1027"/>
        </w:numPr>
      </w:pPr>
      <w:bookmarkStart w:id="286" w:name="user-content-fn-68"/>
      <w:r>
        <w:rPr>
          <w:lang w:val="en"/>
        </w:rPr>
        <w:t xml:space="preserve">¶73</w:t>
      </w:r>
      <w:r>
        <w:rPr>
          <w:lang w:val="en"/>
        </w:rPr>
        <w:t xml:space="preserve"> </w:t>
      </w:r>
      <w:bookmarkEnd w:id="286"/>
    </w:p>
    <w:p>
      <w:pPr>
        <w:numPr>
          <w:ilvl w:val="0"/>
          <w:numId w:val="1000"/>
        </w:numPr>
      </w:pPr>
      <w:r>
        <w:rPr>
          <w:lang w:val="en"/>
        </w:rPr>
        <w:t xml:space="preserve">SEEA EA, Chapter 10 on ecosystem asset valuation; SEEA Valuation provides comprehensive guidance.</w:t>
      </w:r>
      <w:r>
        <w:rPr>
          <w:lang w:val="en"/>
        </w:rPr>
        <w:t xml:space="preserve"> </w:t>
      </w:r>
      <w:hyperlink w:anchor="user-content-fnref-68">
        <w:r>
          <w:rPr>
            <w:rStyle w:val="Hyperlink"/>
            <w:lang w:val="en"/>
          </w:rPr>
          <w:t xml:space="preserve">↩</w:t>
        </w:r>
      </w:hyperlink>
    </w:p>
    <w:p>
      <w:pPr>
        <w:numPr>
          <w:ilvl w:val="0"/>
          <w:numId w:val="1027"/>
        </w:numPr>
      </w:pPr>
      <w:bookmarkStart w:id="287" w:name="user-content-fn-69"/>
      <w:r>
        <w:rPr>
          <w:lang w:val="en"/>
        </w:rPr>
        <w:t xml:space="preserve">¶74</w:t>
      </w:r>
      <w:r>
        <w:rPr>
          <w:lang w:val="en"/>
        </w:rPr>
        <w:t xml:space="preserve"> </w:t>
      </w:r>
      <w:bookmarkEnd w:id="287"/>
    </w:p>
    <w:p>
      <w:pPr>
        <w:numPr>
          <w:ilvl w:val="0"/>
          <w:numId w:val="1000"/>
        </w:numPr>
      </w:pPr>
      <w:r>
        <w:rPr>
          <w:lang w:val="en"/>
        </w:rPr>
        <w:t xml:space="preserve">SEEA Valuation, Section 4.2.9 on carbon pricing approaches.</w:t>
      </w:r>
      <w:r>
        <w:rPr>
          <w:lang w:val="en"/>
        </w:rPr>
        <w:t xml:space="preserve"> </w:t>
      </w:r>
      <w:hyperlink w:anchor="user-content-fnref-69">
        <w:r>
          <w:rPr>
            <w:rStyle w:val="Hyperlink"/>
            <w:lang w:val="en"/>
          </w:rPr>
          <w:t xml:space="preserve">↩</w:t>
        </w:r>
      </w:hyperlink>
    </w:p>
    <w:p>
      <w:pPr>
        <w:numPr>
          <w:ilvl w:val="0"/>
          <w:numId w:val="1027"/>
        </w:numPr>
      </w:pPr>
      <w:bookmarkStart w:id="288" w:name="user-content-fn-70"/>
      <w:r>
        <w:rPr>
          <w:lang w:val="en"/>
        </w:rPr>
        <w:t xml:space="preserve">¶75</w:t>
      </w:r>
      <w:r>
        <w:rPr>
          <w:lang w:val="en"/>
        </w:rPr>
        <w:t xml:space="preserve"> </w:t>
      </w:r>
      <w:bookmarkEnd w:id="288"/>
    </w:p>
    <w:p>
      <w:pPr>
        <w:numPr>
          <w:ilvl w:val="0"/>
          <w:numId w:val="1000"/>
        </w:numPr>
      </w:pPr>
      <w:r>
        <w:rPr>
          <w:lang w:val="en"/>
        </w:rPr>
        <w:t xml:space="preserve">SEEA Valuation, Section 4.2.9 on social cost of carbon estimates.</w:t>
      </w:r>
      <w:r>
        <w:rPr>
          <w:lang w:val="en"/>
        </w:rPr>
        <w:t xml:space="preserve"> </w:t>
      </w:r>
      <w:hyperlink w:anchor="user-content-fnref-70">
        <w:r>
          <w:rPr>
            <w:rStyle w:val="Hyperlink"/>
            <w:lang w:val="en"/>
          </w:rPr>
          <w:t xml:space="preserve">↩</w:t>
        </w:r>
      </w:hyperlink>
    </w:p>
    <w:p>
      <w:pPr>
        <w:numPr>
          <w:ilvl w:val="0"/>
          <w:numId w:val="1027"/>
        </w:numPr>
      </w:pPr>
      <w:bookmarkStart w:id="289" w:name="user-content-fn-71"/>
      <w:r>
        <w:rPr>
          <w:lang w:val="en"/>
        </w:rPr>
        <w:t xml:space="preserve">¶76</w:t>
      </w:r>
      <w:r>
        <w:rPr>
          <w:lang w:val="en"/>
        </w:rPr>
        <w:t xml:space="preserve"> </w:t>
      </w:r>
      <w:bookmarkEnd w:id="289"/>
    </w:p>
    <w:p>
      <w:pPr>
        <w:numPr>
          <w:ilvl w:val="0"/>
          <w:numId w:val="1000"/>
        </w:numPr>
      </w:pPr>
      <w:r>
        <w:rPr>
          <w:lang w:val="en"/>
        </w:rPr>
        <w:t xml:space="preserve">SEEA Valuation, Section 4.2.9 on compliance market prices.</w:t>
      </w:r>
      <w:r>
        <w:rPr>
          <w:lang w:val="en"/>
        </w:rPr>
        <w:t xml:space="preserve"> </w:t>
      </w:r>
      <w:hyperlink w:anchor="user-content-fnref-71">
        <w:r>
          <w:rPr>
            <w:rStyle w:val="Hyperlink"/>
            <w:lang w:val="en"/>
          </w:rPr>
          <w:t xml:space="preserve">↩</w:t>
        </w:r>
      </w:hyperlink>
    </w:p>
    <w:p>
      <w:pPr>
        <w:numPr>
          <w:ilvl w:val="0"/>
          <w:numId w:val="1027"/>
        </w:numPr>
      </w:pPr>
      <w:bookmarkStart w:id="290" w:name="user-content-fn-72"/>
      <w:r>
        <w:rPr>
          <w:lang w:val="en"/>
        </w:rPr>
        <w:t xml:space="preserve">¶77</w:t>
      </w:r>
      <w:r>
        <w:rPr>
          <w:lang w:val="en"/>
        </w:rPr>
        <w:t xml:space="preserve"> </w:t>
      </w:r>
      <w:bookmarkEnd w:id="290"/>
    </w:p>
    <w:p>
      <w:pPr>
        <w:numPr>
          <w:ilvl w:val="0"/>
          <w:numId w:val="1000"/>
        </w:numPr>
      </w:pPr>
      <w:r>
        <w:rPr>
          <w:lang w:val="en"/>
        </w:rPr>
        <w:t xml:space="preserve">United Nations (2022), Monetary Valuation Technical Report v1.5, Section 4.2.9; Edens et al. (2019); Keith et al. (2019).</w:t>
      </w:r>
      <w:r>
        <w:rPr>
          <w:lang w:val="en"/>
        </w:rPr>
        <w:t xml:space="preserve"> </w:t>
      </w:r>
      <w:hyperlink w:anchor="user-content-fnref-72">
        <w:r>
          <w:rPr>
            <w:rStyle w:val="Hyperlink"/>
            <w:lang w:val="en"/>
          </w:rPr>
          <w:t xml:space="preserve">↩</w:t>
        </w:r>
      </w:hyperlink>
    </w:p>
    <w:p>
      <w:pPr>
        <w:numPr>
          <w:ilvl w:val="0"/>
          <w:numId w:val="1027"/>
        </w:numPr>
      </w:pPr>
      <w:bookmarkStart w:id="291" w:name="user-content-fn-73"/>
      <w:r>
        <w:rPr>
          <w:lang w:val="en"/>
        </w:rPr>
        <w:t xml:space="preserve">¶78</w:t>
      </w:r>
      <w:r>
        <w:rPr>
          <w:lang w:val="en"/>
        </w:rPr>
        <w:t xml:space="preserve"> </w:t>
      </w:r>
      <w:bookmarkEnd w:id="291"/>
    </w:p>
    <w:p>
      <w:pPr>
        <w:numPr>
          <w:ilvl w:val="0"/>
          <w:numId w:val="1000"/>
        </w:numPr>
      </w:pPr>
      <w:r>
        <w:rPr>
          <w:lang w:val="en"/>
        </w:rPr>
        <w:t xml:space="preserve">SEEA Valuation, Section 4.2.13 on coastal protection valuation methods.</w:t>
      </w:r>
      <w:r>
        <w:rPr>
          <w:lang w:val="en"/>
        </w:rPr>
        <w:t xml:space="preserve"> </w:t>
      </w:r>
      <w:hyperlink w:anchor="user-content-fnref-73">
        <w:r>
          <w:rPr>
            <w:rStyle w:val="Hyperlink"/>
            <w:lang w:val="en"/>
          </w:rPr>
          <w:t xml:space="preserve">↩</w:t>
        </w:r>
      </w:hyperlink>
    </w:p>
    <w:p>
      <w:pPr>
        <w:numPr>
          <w:ilvl w:val="0"/>
          <w:numId w:val="1027"/>
        </w:numPr>
      </w:pPr>
      <w:bookmarkStart w:id="292" w:name="user-content-fn-74"/>
      <w:r>
        <w:rPr>
          <w:lang w:val="en"/>
        </w:rPr>
        <w:t xml:space="preserve">¶79</w:t>
      </w:r>
      <w:r>
        <w:rPr>
          <w:lang w:val="en"/>
        </w:rPr>
        <w:t xml:space="preserve"> </w:t>
      </w:r>
      <w:bookmarkEnd w:id="292"/>
    </w:p>
    <w:p>
      <w:pPr>
        <w:numPr>
          <w:ilvl w:val="0"/>
          <w:numId w:val="1000"/>
        </w:numPr>
      </w:pPr>
      <w:r>
        <w:rPr>
          <w:lang w:val="en"/>
        </w:rPr>
        <w:t xml:space="preserve">SEEA Valuation, Section 4.2.13.</w:t>
      </w:r>
      <w:r>
        <w:rPr>
          <w:lang w:val="en"/>
        </w:rPr>
        <w:t xml:space="preserve"> </w:t>
      </w:r>
      <w:hyperlink w:anchor="user-content-fnref-74">
        <w:r>
          <w:rPr>
            <w:rStyle w:val="Hyperlink"/>
            <w:lang w:val="en"/>
          </w:rPr>
          <w:t xml:space="preserve">↩</w:t>
        </w:r>
      </w:hyperlink>
    </w:p>
    <w:p>
      <w:pPr>
        <w:numPr>
          <w:ilvl w:val="0"/>
          <w:numId w:val="1027"/>
        </w:numPr>
      </w:pPr>
      <w:bookmarkStart w:id="293" w:name="user-content-fn-75"/>
      <w:r>
        <w:rPr>
          <w:lang w:val="en"/>
        </w:rPr>
        <w:t xml:space="preserve">¶80</w:t>
      </w:r>
      <w:r>
        <w:rPr>
          <w:lang w:val="en"/>
        </w:rPr>
        <w:t xml:space="preserve"> </w:t>
      </w:r>
      <w:bookmarkEnd w:id="293"/>
    </w:p>
    <w:p>
      <w:pPr>
        <w:numPr>
          <w:ilvl w:val="0"/>
          <w:numId w:val="1000"/>
        </w:numPr>
      </w:pPr>
      <w:r>
        <w:rPr>
          <w:lang w:val="en"/>
        </w:rPr>
        <w:t xml:space="preserve">SEEA Valuation, Section 4.2.13 citing Menendez et al. (2020).</w:t>
      </w:r>
      <w:r>
        <w:rPr>
          <w:lang w:val="en"/>
        </w:rPr>
        <w:t xml:space="preserve"> </w:t>
      </w:r>
      <w:hyperlink w:anchor="user-content-fnref-75">
        <w:r>
          <w:rPr>
            <w:rStyle w:val="Hyperlink"/>
            <w:lang w:val="en"/>
          </w:rPr>
          <w:t xml:space="preserve">↩</w:t>
        </w:r>
      </w:hyperlink>
    </w:p>
    <w:p>
      <w:pPr>
        <w:numPr>
          <w:ilvl w:val="0"/>
          <w:numId w:val="1027"/>
        </w:numPr>
      </w:pPr>
      <w:bookmarkStart w:id="294" w:name="user-content-fn-76"/>
      <w:r>
        <w:rPr>
          <w:lang w:val="en"/>
        </w:rPr>
        <w:t xml:space="preserve">¶81</w:t>
      </w:r>
      <w:r>
        <w:rPr>
          <w:lang w:val="en"/>
        </w:rPr>
        <w:t xml:space="preserve"> </w:t>
      </w:r>
      <w:bookmarkEnd w:id="294"/>
    </w:p>
    <w:p>
      <w:pPr>
        <w:numPr>
          <w:ilvl w:val="0"/>
          <w:numId w:val="1000"/>
        </w:numPr>
      </w:pPr>
      <w:r>
        <w:rPr>
          <w:lang w:val="en"/>
        </w:rPr>
        <w:t xml:space="preserve">SEEA Valuation, Section 4.2.13 notes replacement cost as Tier 2 method.</w:t>
      </w:r>
      <w:r>
        <w:rPr>
          <w:lang w:val="en"/>
        </w:rPr>
        <w:t xml:space="preserve"> </w:t>
      </w:r>
      <w:hyperlink w:anchor="user-content-fnref-76">
        <w:r>
          <w:rPr>
            <w:rStyle w:val="Hyperlink"/>
            <w:lang w:val="en"/>
          </w:rPr>
          <w:t xml:space="preserve">↩</w:t>
        </w:r>
      </w:hyperlink>
    </w:p>
    <w:p>
      <w:pPr>
        <w:numPr>
          <w:ilvl w:val="0"/>
          <w:numId w:val="1027"/>
        </w:numPr>
      </w:pPr>
      <w:bookmarkStart w:id="295" w:name="user-content-fn-77"/>
      <w:r>
        <w:rPr>
          <w:lang w:val="en"/>
        </w:rPr>
        <w:t xml:space="preserve">¶82</w:t>
      </w:r>
      <w:r>
        <w:rPr>
          <w:lang w:val="en"/>
        </w:rPr>
        <w:t xml:space="preserve"> </w:t>
      </w:r>
      <w:bookmarkEnd w:id="295"/>
    </w:p>
    <w:p>
      <w:pPr>
        <w:numPr>
          <w:ilvl w:val="0"/>
          <w:numId w:val="1000"/>
        </w:numPr>
      </w:pPr>
      <w:r>
        <w:rPr>
          <w:lang w:val="en"/>
        </w:rPr>
        <w:t xml:space="preserve">SEEA Valuation, Section 4.2.14 on productivity change methods for nursery services.</w:t>
      </w:r>
      <w:r>
        <w:rPr>
          <w:lang w:val="en"/>
        </w:rPr>
        <w:t xml:space="preserve"> </w:t>
      </w:r>
      <w:hyperlink w:anchor="user-content-fnref-77">
        <w:r>
          <w:rPr>
            <w:rStyle w:val="Hyperlink"/>
            <w:lang w:val="en"/>
          </w:rPr>
          <w:t xml:space="preserve">↩</w:t>
        </w:r>
      </w:hyperlink>
    </w:p>
    <w:p>
      <w:pPr>
        <w:numPr>
          <w:ilvl w:val="0"/>
          <w:numId w:val="1027"/>
        </w:numPr>
      </w:pPr>
      <w:bookmarkStart w:id="296" w:name="user-content-fn-78"/>
      <w:r>
        <w:rPr>
          <w:lang w:val="en"/>
        </w:rPr>
        <w:t xml:space="preserve">¶83</w:t>
      </w:r>
      <w:r>
        <w:rPr>
          <w:lang w:val="en"/>
        </w:rPr>
        <w:t xml:space="preserve"> </w:t>
      </w:r>
      <w:bookmarkEnd w:id="296"/>
    </w:p>
    <w:p>
      <w:pPr>
        <w:numPr>
          <w:ilvl w:val="0"/>
          <w:numId w:val="1000"/>
        </w:numPr>
      </w:pPr>
      <w:r>
        <w:rPr>
          <w:lang w:val="en"/>
        </w:rPr>
        <w:t xml:space="preserve">SEEA Valuation, Section 4.2.14.</w:t>
      </w:r>
      <w:r>
        <w:rPr>
          <w:lang w:val="en"/>
        </w:rPr>
        <w:t xml:space="preserve"> </w:t>
      </w:r>
      <w:hyperlink w:anchor="user-content-fnref-78">
        <w:r>
          <w:rPr>
            <w:rStyle w:val="Hyperlink"/>
            <w:lang w:val="en"/>
          </w:rPr>
          <w:t xml:space="preserve">↩</w:t>
        </w:r>
      </w:hyperlink>
    </w:p>
    <w:p>
      <w:pPr>
        <w:numPr>
          <w:ilvl w:val="0"/>
          <w:numId w:val="1027"/>
        </w:numPr>
      </w:pPr>
      <w:bookmarkStart w:id="297" w:name="user-content-fn-79"/>
      <w:r>
        <w:rPr>
          <w:lang w:val="en"/>
        </w:rPr>
        <w:t xml:space="preserve">¶84</w:t>
      </w:r>
      <w:r>
        <w:rPr>
          <w:lang w:val="en"/>
        </w:rPr>
        <w:t xml:space="preserve"> </w:t>
      </w:r>
      <w:bookmarkEnd w:id="297"/>
    </w:p>
    <w:p>
      <w:pPr>
        <w:numPr>
          <w:ilvl w:val="0"/>
          <w:numId w:val="1000"/>
        </w:numPr>
      </w:pPr>
      <w:r>
        <w:rPr>
          <w:lang w:val="en"/>
        </w:rPr>
        <w:t xml:space="preserve">SEEA Valuation, Section 4.2.14 citing Anneboina and Kumar (2017).</w:t>
      </w:r>
      <w:r>
        <w:rPr>
          <w:lang w:val="en"/>
        </w:rPr>
        <w:t xml:space="preserve"> </w:t>
      </w:r>
      <w:hyperlink w:anchor="user-content-fnref-79">
        <w:r>
          <w:rPr>
            <w:rStyle w:val="Hyperlink"/>
            <w:lang w:val="en"/>
          </w:rPr>
          <w:t xml:space="preserve">↩</w:t>
        </w:r>
      </w:hyperlink>
    </w:p>
    <w:p>
      <w:pPr>
        <w:numPr>
          <w:ilvl w:val="0"/>
          <w:numId w:val="1027"/>
        </w:numPr>
      </w:pPr>
      <w:bookmarkStart w:id="298" w:name="user-content-fn-80"/>
      <w:r>
        <w:rPr>
          <w:lang w:val="en"/>
        </w:rPr>
        <w:t xml:space="preserve">¶85</w:t>
      </w:r>
      <w:r>
        <w:rPr>
          <w:lang w:val="en"/>
        </w:rPr>
        <w:t xml:space="preserve"> </w:t>
      </w:r>
      <w:bookmarkEnd w:id="298"/>
    </w:p>
    <w:p>
      <w:pPr>
        <w:numPr>
          <w:ilvl w:val="0"/>
          <w:numId w:val="1000"/>
        </w:numPr>
      </w:pPr>
      <w:r>
        <w:rPr>
          <w:lang w:val="en"/>
        </w:rPr>
        <w:t xml:space="preserve">SEEA EA, Section 7.3 on avoiding double counting in ecosystem service accounting.</w:t>
      </w:r>
      <w:r>
        <w:rPr>
          <w:lang w:val="en"/>
        </w:rPr>
        <w:t xml:space="preserve"> </w:t>
      </w:r>
      <w:hyperlink w:anchor="user-content-fnref-80">
        <w:r>
          <w:rPr>
            <w:rStyle w:val="Hyperlink"/>
            <w:lang w:val="en"/>
          </w:rPr>
          <w:t xml:space="preserve">↩</w:t>
        </w:r>
      </w:hyperlink>
    </w:p>
    <w:p>
      <w:pPr>
        <w:numPr>
          <w:ilvl w:val="0"/>
          <w:numId w:val="1027"/>
        </w:numPr>
      </w:pPr>
      <w:bookmarkStart w:id="299" w:name="user-content-fn-81"/>
      <w:r>
        <w:rPr>
          <w:lang w:val="en"/>
        </w:rPr>
        <w:t xml:space="preserve">¶86</w:t>
      </w:r>
      <w:r>
        <w:rPr>
          <w:lang w:val="en"/>
        </w:rPr>
        <w:t xml:space="preserve"> </w:t>
      </w:r>
      <w:bookmarkEnd w:id="299"/>
    </w:p>
    <w:p>
      <w:pPr>
        <w:numPr>
          <w:ilvl w:val="0"/>
          <w:numId w:val="1000"/>
        </w:numPr>
      </w:pPr>
      <w:r>
        <w:rPr>
          <w:lang w:val="en"/>
        </w:rPr>
        <w:t xml:space="preserve">SEEA EA supply-use framework ensures consistent recording of service flows.</w:t>
      </w:r>
      <w:r>
        <w:rPr>
          <w:lang w:val="en"/>
        </w:rPr>
        <w:t xml:space="preserve"> </w:t>
      </w:r>
      <w:hyperlink w:anchor="user-content-fnref-81">
        <w:r>
          <w:rPr>
            <w:rStyle w:val="Hyperlink"/>
            <w:lang w:val="en"/>
          </w:rPr>
          <w:t xml:space="preserve">↩</w:t>
        </w:r>
      </w:hyperlink>
    </w:p>
    <w:p>
      <w:pPr>
        <w:numPr>
          <w:ilvl w:val="0"/>
          <w:numId w:val="1027"/>
        </w:numPr>
      </w:pPr>
      <w:bookmarkStart w:id="300" w:name="user-content-fn-82"/>
      <w:r>
        <w:rPr>
          <w:lang w:val="en"/>
        </w:rPr>
        <w:t xml:space="preserve">¶87</w:t>
      </w:r>
      <w:r>
        <w:rPr>
          <w:lang w:val="en"/>
        </w:rPr>
        <w:t xml:space="preserve"> </w:t>
      </w:r>
      <w:bookmarkEnd w:id="300"/>
    </w:p>
    <w:p>
      <w:pPr>
        <w:numPr>
          <w:ilvl w:val="0"/>
          <w:numId w:val="1000"/>
        </w:numPr>
      </w:pPr>
      <w:r>
        <w:rPr>
          <w:lang w:val="en"/>
        </w:rPr>
        <w:t xml:space="preserve">Verra (2018), VM0033 Methodology for Tidal Wetland and Seagrass Restoration.</w:t>
      </w:r>
      <w:r>
        <w:rPr>
          <w:lang w:val="en"/>
        </w:rPr>
        <w:t xml:space="preserve"> </w:t>
      </w:r>
      <w:hyperlink w:anchor="user-content-fnref-82">
        <w:r>
          <w:rPr>
            <w:rStyle w:val="Hyperlink"/>
            <w:lang w:val="en"/>
          </w:rPr>
          <w:t xml:space="preserve">↩</w:t>
        </w:r>
      </w:hyperlink>
    </w:p>
    <w:bookmarkStart w:id="301" w:name="tg-peek-card"/>
    <w:bookmarkEnd w:id="30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3" Target="media/rId43.svgz" /><Relationship Type="http://schemas.openxmlformats.org/officeDocument/2006/relationships/image" Id="rId201" Target="media/rId201.svgz" /><Relationship Type="http://schemas.openxmlformats.org/officeDocument/2006/relationships/image" Id="rId95" Target="media/rId95.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24" Target="http://www.globalmangrovewatch.org" TargetMode="External" /><Relationship Type="http://schemas.openxmlformats.org/officeDocument/2006/relationships/hyperlink" Id="rId27" Target="https://creativecommons.org/licenses/by-nc/4.0/" TargetMode="External" /><Relationship Type="http://schemas.openxmlformats.org/officeDocument/2006/relationships/hyperlink" Id="rId33" Target="https://guidance.oceanaccounts.org/circulars/#tg-2-9" TargetMode="External" /><Relationship Type="http://schemas.openxmlformats.org/officeDocument/2006/relationships/hyperlink" Id="rId51" Target="https://guidance.oceanaccounts.org/circulars/section-0/0-1-general-introduction" TargetMode="External" /><Relationship Type="http://schemas.openxmlformats.org/officeDocument/2006/relationships/hyperlink" Id="rId52" Target="https://guidance.oceanaccounts.org/circulars/section-0/0-8-implementation-readiness" TargetMode="External" /><Relationship Type="http://schemas.openxmlformats.org/officeDocument/2006/relationships/hyperlink" Id="rId34" Target="https://guidance.oceanaccounts.org/circulars/section-1/1-8-project-finance" TargetMode="External" /><Relationship Type="http://schemas.openxmlformats.org/officeDocument/2006/relationships/hyperlink" Id="rId46" Target="https://guidance.oceanaccounts.org/circulars/section-1/1-9-valuation" TargetMode="External" /><Relationship Type="http://schemas.openxmlformats.org/officeDocument/2006/relationships/hyperlink" Id="rId82" Target="https://guidance.oceanaccounts.org/circulars/section-2/2-1-biophysical-indicators" TargetMode="External" /><Relationship Type="http://schemas.openxmlformats.org/officeDocument/2006/relationships/hyperlink" Id="rId32" Target="https://guidance.oceanaccounts.org/circulars/section-2/2-8-climate-indicators" TargetMode="External" /><Relationship Type="http://schemas.openxmlformats.org/officeDocument/2006/relationships/hyperlink" Id="rId38" Target="https://guidance.oceanaccounts.org/circulars/section-3/3-1-assets" TargetMode="External" /><Relationship Type="http://schemas.openxmlformats.org/officeDocument/2006/relationships/hyperlink" Id="rId183" Target="https://guidance.oceanaccounts.org/circulars/section-3/3-2-flows-env-econ" TargetMode="External" /><Relationship Type="http://schemas.openxmlformats.org/officeDocument/2006/relationships/hyperlink" Id="rId56" Target="https://guidance.oceanaccounts.org/circulars/section-3/3-8-combined-presentations" TargetMode="External" /><Relationship Type="http://schemas.openxmlformats.org/officeDocument/2006/relationships/hyperlink" Id="rId39" Target="https://guidance.oceanaccounts.org/circulars/section-4/4-1-remote-sensing" TargetMode="External" /><Relationship Type="http://schemas.openxmlformats.org/officeDocument/2006/relationships/hyperlink" Id="rId167" Target="https://guidance.oceanaccounts.org/circulars/section-4/4-10-fisheries-statistics-ebm" TargetMode="External" /><Relationship Type="http://schemas.openxmlformats.org/officeDocument/2006/relationships/hyperlink" Id="rId40" Target="https://guidance.oceanaccounts.org/circulars/section-4/4-8-physical-condition-measurement" TargetMode="External" /><Relationship Type="http://schemas.openxmlformats.org/officeDocument/2006/relationships/hyperlink" Id="rId41" Target="https://guidance.oceanaccounts.org/circulars/section-4/4-9-biological-condition-measurement" TargetMode="External" /><Relationship Type="http://schemas.openxmlformats.org/officeDocument/2006/relationships/hyperlink" Id="rId35" Target="https://guidance.oceanaccounts.org/circulars/section-6/6-1-coral-reef" TargetMode="External" /><Relationship Type="http://schemas.openxmlformats.org/officeDocument/2006/relationships/hyperlink" Id="rId145" Target="https://guidance.oceanaccounts.org/circulars/section-6/6-11-coastal-infrastructure" TargetMode="External" /><Relationship Type="http://schemas.openxmlformats.org/officeDocument/2006/relationships/hyperlink" Id="rId42" Target="https://guidance.oceanaccounts.org/circulars/section-6/6-13-freshwater-marine" TargetMode="External" /><Relationship Type="http://schemas.openxmlformats.org/officeDocument/2006/relationships/hyperlink" Id="rId72" Target="https://guidance.oceanaccounts.org/circulars/section-6/6-15-nature-based-solutions" TargetMode="External" /><Relationship Type="http://schemas.openxmlformats.org/officeDocument/2006/relationships/hyperlink" Id="rId36" Target="https://guidance.oceanaccounts.org/circulars/section-6/6-3-seagrass" TargetMode="External" /><Relationship Type="http://schemas.openxmlformats.org/officeDocument/2006/relationships/hyperlink" Id="rId37" Target="https://guidance.oceanaccounts.org/circulars/section-6/6-4-kelp-temperate-reef" TargetMode="External" /><Relationship Type="http://schemas.openxmlformats.org/officeDocument/2006/relationships/hyperlink" Id="rId47"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224" Target="http://www.globalmangrovewatch.org" TargetMode="External" /><Relationship Type="http://schemas.openxmlformats.org/officeDocument/2006/relationships/hyperlink" Id="rId27" Target="https://creativecommons.org/licenses/by-nc/4.0/" TargetMode="External" /><Relationship Type="http://schemas.openxmlformats.org/officeDocument/2006/relationships/hyperlink" Id="rId33" Target="https://guidance.oceanaccounts.org/circulars/#tg-2-9" TargetMode="External" /><Relationship Type="http://schemas.openxmlformats.org/officeDocument/2006/relationships/hyperlink" Id="rId51" Target="https://guidance.oceanaccounts.org/circulars/section-0/0-1-general-introduction" TargetMode="External" /><Relationship Type="http://schemas.openxmlformats.org/officeDocument/2006/relationships/hyperlink" Id="rId52" Target="https://guidance.oceanaccounts.org/circulars/section-0/0-8-implementation-readiness" TargetMode="External" /><Relationship Type="http://schemas.openxmlformats.org/officeDocument/2006/relationships/hyperlink" Id="rId34" Target="https://guidance.oceanaccounts.org/circulars/section-1/1-8-project-finance" TargetMode="External" /><Relationship Type="http://schemas.openxmlformats.org/officeDocument/2006/relationships/hyperlink" Id="rId46" Target="https://guidance.oceanaccounts.org/circulars/section-1/1-9-valuation" TargetMode="External" /><Relationship Type="http://schemas.openxmlformats.org/officeDocument/2006/relationships/hyperlink" Id="rId82" Target="https://guidance.oceanaccounts.org/circulars/section-2/2-1-biophysical-indicators" TargetMode="External" /><Relationship Type="http://schemas.openxmlformats.org/officeDocument/2006/relationships/hyperlink" Id="rId32" Target="https://guidance.oceanaccounts.org/circulars/section-2/2-8-climate-indicators" TargetMode="External" /><Relationship Type="http://schemas.openxmlformats.org/officeDocument/2006/relationships/hyperlink" Id="rId38" Target="https://guidance.oceanaccounts.org/circulars/section-3/3-1-assets" TargetMode="External" /><Relationship Type="http://schemas.openxmlformats.org/officeDocument/2006/relationships/hyperlink" Id="rId183" Target="https://guidance.oceanaccounts.org/circulars/section-3/3-2-flows-env-econ" TargetMode="External" /><Relationship Type="http://schemas.openxmlformats.org/officeDocument/2006/relationships/hyperlink" Id="rId56" Target="https://guidance.oceanaccounts.org/circulars/section-3/3-8-combined-presentations" TargetMode="External" /><Relationship Type="http://schemas.openxmlformats.org/officeDocument/2006/relationships/hyperlink" Id="rId39" Target="https://guidance.oceanaccounts.org/circulars/section-4/4-1-remote-sensing" TargetMode="External" /><Relationship Type="http://schemas.openxmlformats.org/officeDocument/2006/relationships/hyperlink" Id="rId167" Target="https://guidance.oceanaccounts.org/circulars/section-4/4-10-fisheries-statistics-ebm" TargetMode="External" /><Relationship Type="http://schemas.openxmlformats.org/officeDocument/2006/relationships/hyperlink" Id="rId40" Target="https://guidance.oceanaccounts.org/circulars/section-4/4-8-physical-condition-measurement" TargetMode="External" /><Relationship Type="http://schemas.openxmlformats.org/officeDocument/2006/relationships/hyperlink" Id="rId41" Target="https://guidance.oceanaccounts.org/circulars/section-4/4-9-biological-condition-measurement" TargetMode="External" /><Relationship Type="http://schemas.openxmlformats.org/officeDocument/2006/relationships/hyperlink" Id="rId35" Target="https://guidance.oceanaccounts.org/circulars/section-6/6-1-coral-reef" TargetMode="External" /><Relationship Type="http://schemas.openxmlformats.org/officeDocument/2006/relationships/hyperlink" Id="rId145" Target="https://guidance.oceanaccounts.org/circulars/section-6/6-11-coastal-infrastructure" TargetMode="External" /><Relationship Type="http://schemas.openxmlformats.org/officeDocument/2006/relationships/hyperlink" Id="rId42" Target="https://guidance.oceanaccounts.org/circulars/section-6/6-13-freshwater-marine" TargetMode="External" /><Relationship Type="http://schemas.openxmlformats.org/officeDocument/2006/relationships/hyperlink" Id="rId72" Target="https://guidance.oceanaccounts.org/circulars/section-6/6-15-nature-based-solutions" TargetMode="External" /><Relationship Type="http://schemas.openxmlformats.org/officeDocument/2006/relationships/hyperlink" Id="rId36" Target="https://guidance.oceanaccounts.org/circulars/section-6/6-3-seagrass" TargetMode="External" /><Relationship Type="http://schemas.openxmlformats.org/officeDocument/2006/relationships/hyperlink" Id="rId37" Target="https://guidance.oceanaccounts.org/circulars/section-6/6-4-kelp-temperate-reef" TargetMode="External" /><Relationship Type="http://schemas.openxmlformats.org/officeDocument/2006/relationships/hyperlink" Id="rId47"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Mangrove and Coastal Wetland Accounting | Global Ocean Accounts Partnership</dc:title>
  <dc:creator/>
  <dc:description>Provides guidance on compiling ecosystem accounts for mangroves and coastal wetlands.</dc:description>
  <dc:language>en</dc:language>
  <cp:keywords/>
  <dcterms:created xsi:type="dcterms:W3CDTF">2026-10-23T04:12:57Z</dcterms:created>
  <dcterms:modified xsi:type="dcterms:W3CDTF">2026-10-23T04:12:57Z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https://guidance.oceanaccounts.org/circulars/section-6/6-2-mangrove-wetland/</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Mangrove and Coastal Wetland Accounting</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Mangrove and Coastal Wetland Accounting</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