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svgz" ContentType="image/svg+xml;base64"/>
  <Override PartName="/word/media/rId136.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Maritime Transport and Ports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TG-6.10 Section 6: Thematic Methodologies Applied Draft TG-6.10 Applied Draft Section 6 Section 6: Thematic Methodologies maritime transport shipping ports ISIC Division 50 shipping emissions decarbonisation ballast water underwater noise dredging SNA SNA 2025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TG-6.10</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TG-6.10 · Section 6: Thematic Methodologies · 1 September 2026</w:t>
      </w:r>
    </w:p>
    <w:bookmarkStart w:id="26" w:name="maritime-transport-and-ports"/>
    <w:p>
      <w:pPr>
        <w:pStyle w:val="Heading1"/>
      </w:pPr>
      <w:r>
        <w:rPr>
          <w:lang w:val="en"/>
        </w:rPr>
        <w:t xml:space="preserve">Maritime Transport and Ports</w:t>
      </w:r>
    </w:p>
    <w:p>
      <w:pPr>
        <w:pStyle w:val="FirstParagraph"/>
      </w:pPr>
      <w:r>
        <w:rPr>
          <w:lang w:val="en"/>
        </w:rPr>
        <w:t xml:space="preserve">Provides thematic methodology for compiling ocean accounts relating to maritime transport and port activities.</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6d4e54f55a2685ac7587665af429dec992ca035">
        <w:r>
          <w:rPr>
            <w:rStyle w:val="Hyperlink"/>
            <w:lang w:val="en"/>
          </w:rPr>
          <w:t xml:space="preserve">3.1 Maritime Transport Activities</w:t>
        </w:r>
      </w:hyperlink>
    </w:p>
    <w:p>
      <w:pPr>
        <w:numPr>
          <w:ilvl w:val="1"/>
          <w:numId w:val="1002"/>
        </w:numPr>
        <w:pStyle w:val="Compact"/>
      </w:pPr>
      <w:hyperlink w:anchor="Xe63a381bb80e0c7f9a235d667f25b002967f809">
        <w:r>
          <w:rPr>
            <w:rStyle w:val="Hyperlink"/>
            <w:lang w:val="en"/>
          </w:rPr>
          <w:t xml:space="preserve">3.2 Port Infrastructure</w:t>
        </w:r>
      </w:hyperlink>
    </w:p>
    <w:p>
      <w:pPr>
        <w:numPr>
          <w:ilvl w:val="1"/>
          <w:numId w:val="1002"/>
        </w:numPr>
        <w:pStyle w:val="Compact"/>
      </w:pPr>
      <w:hyperlink w:anchor="Xf44e5609e4b9b7565197cc11a8c2759da3304b1">
        <w:r>
          <w:rPr>
            <w:rStyle w:val="Hyperlink"/>
            <w:lang w:val="en"/>
          </w:rPr>
          <w:t xml:space="preserve">3.3 Emissions Accounting</w:t>
        </w:r>
      </w:hyperlink>
    </w:p>
    <w:p>
      <w:pPr>
        <w:numPr>
          <w:ilvl w:val="1"/>
          <w:numId w:val="1002"/>
        </w:numPr>
        <w:pStyle w:val="Compact"/>
      </w:pPr>
      <w:hyperlink w:anchor="X0a9cd5dada75a390455e18e0fb197bcacb46c10">
        <w:r>
          <w:rPr>
            <w:rStyle w:val="Hyperlink"/>
            <w:lang w:val="en"/>
          </w:rPr>
          <w:t xml:space="preserve">3.4 Economic Measurement</w:t>
        </w:r>
      </w:hyperlink>
    </w:p>
    <w:p>
      <w:pPr>
        <w:numPr>
          <w:ilvl w:val="1"/>
          <w:numId w:val="1002"/>
        </w:numPr>
        <w:pStyle w:val="Compact"/>
      </w:pPr>
      <w:hyperlink w:anchor="X0800ea4a4cac11831a214c31d4dfd791c50ad40">
        <w:r>
          <w:rPr>
            <w:rStyle w:val="Hyperlink"/>
            <w:lang w:val="en"/>
          </w:rPr>
          <w:t xml:space="preserve">3.5 Environmental Interactions</w:t>
        </w:r>
      </w:hyperlink>
    </w:p>
    <w:p>
      <w:pPr>
        <w:numPr>
          <w:ilvl w:val="1"/>
          <w:numId w:val="1002"/>
        </w:numPr>
        <w:pStyle w:val="Compact"/>
      </w:pPr>
      <w:hyperlink w:anchor="Xaa7e7508f2717a81854ce2b802558e8a9df3647">
        <w:r>
          <w:rPr>
            <w:rStyle w:val="Hyperlink"/>
            <w:lang w:val="en"/>
          </w:rPr>
          <w:t xml:space="preserve">3.6 Compilation Procedure: Maritime Transport Supply-Use Table</w:t>
        </w:r>
      </w:hyperlink>
    </w:p>
    <w:p>
      <w:pPr>
        <w:numPr>
          <w:ilvl w:val="1"/>
          <w:numId w:val="1002"/>
        </w:numPr>
        <w:pStyle w:val="Compact"/>
      </w:pPr>
      <w:hyperlink w:anchor="X88a2f6bfbb793328d9f7a9c3a815328e8b0d127">
        <w:r>
          <w:rPr>
            <w:rStyle w:val="Hyperlink"/>
            <w:lang w:val="en"/>
          </w:rPr>
          <w:t xml:space="preserve">3.7 Worked Example: Synthetic Port/Shipping Account</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Maritime Transport and Ports (2026) (GOAP Technical Guidance on Ocean Accounting, TG-6.10, v0.8.1). GOAP Secretariat. https://guidance.oceanaccounts.org/circulars/section-6/6-10-maritime-transport/</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thematic methodology for compiling ocean accounts relating to maritime transport and port activities. Maritime transport carries more than 80 per cent of global merchandise trade by volume.</w:t>
      </w:r>
      <w:hyperlink w:anchor="user-content-fn-1">
        <w:r>
          <w:rPr>
            <w:rStyle w:val="Hyperlink"/>
            <w:vertAlign w:val="superscript"/>
            <w:lang w:val="en"/>
          </w:rPr>
          <w:t xml:space="preserve">1</w:t>
        </w:r>
      </w:hyperlink>
      <w:r>
        <w:rPr>
          <w:lang w:val="en"/>
        </w:rPr>
        <w:t xml:space="preserve"> </w:t>
      </w:r>
      <w:r>
        <w:rPr>
          <w:lang w:val="en"/>
        </w:rPr>
        <w:t xml:space="preserve">The compilation of maritime transport accounts supports port investment planning, shipping decarbonisation tracking, and trade facilitation assessment.</w:t>
      </w:r>
    </w:p>
    <w:p>
      <w:pPr>
        <w:pStyle w:val="BodyText"/>
      </w:pPr>
      <w:r>
        <w:rPr>
          <w:lang w:val="en"/>
        </w:rPr>
        <w:t xml:space="preserve">¶2</w:t>
      </w:r>
      <w:r>
        <w:rPr>
          <w:lang w:val="en"/>
        </w:rPr>
        <w:t xml:space="preserve"> </w:t>
      </w:r>
      <w:r>
        <w:rPr>
          <w:lang w:val="en"/>
        </w:rPr>
        <w:t xml:space="preserve">Upon completion, users will be able to:</w:t>
      </w:r>
    </w:p>
    <w:p>
      <w:pPr>
        <w:numPr>
          <w:ilvl w:val="0"/>
          <w:numId w:val="1003"/>
        </w:numPr>
        <w:pStyle w:val="Compact"/>
      </w:pPr>
      <w:r>
        <w:rPr>
          <w:lang w:val="en"/>
        </w:rPr>
        <w:t xml:space="preserve">¶3</w:t>
      </w:r>
      <w:r>
        <w:rPr>
          <w:lang w:val="en"/>
        </w:rPr>
        <w:t xml:space="preserve"> </w:t>
      </w:r>
      <w:r>
        <w:rPr>
          <w:lang w:val="en"/>
        </w:rPr>
        <w:t xml:space="preserve">Identify and classify maritime transport and port activities according to ISIC Revision 4 Division 50 (Water Transport) and Class 5222 (Service Activities Incidental to Water Transportation), applying the ocean economy thematic and extended account framework described in</w:t>
      </w:r>
      <w:r>
        <w:rPr>
          <w:lang w:val="en"/>
        </w:rPr>
        <w:t xml:space="preserve"> </w:t>
      </w:r>
      <w:hyperlink r:id="rId32">
        <w:r>
          <w:rPr>
            <w:rStyle w:val="Hyperlink"/>
            <w:bCs/>
            <w:b/>
            <w:lang w:val="en"/>
          </w:rPr>
          <w:t xml:space="preserve">TG-3.3 Economic Activity Relevant to the Ocean</w:t>
        </w:r>
      </w:hyperlink>
      <w:hyperlink w:anchor="user-content-fn-2">
        <w:r>
          <w:rPr>
            <w:rStyle w:val="Hyperlink"/>
            <w:vertAlign w:val="superscript"/>
            <w:lang w:val="en"/>
          </w:rPr>
          <w:t xml:space="preserve">2</w:t>
        </w:r>
      </w:hyperlink>
    </w:p>
    <w:p>
      <w:pPr>
        <w:numPr>
          <w:ilvl w:val="0"/>
          <w:numId w:val="1003"/>
        </w:numPr>
        <w:pStyle w:val="Compact"/>
      </w:pPr>
      <w:r>
        <w:rPr>
          <w:lang w:val="en"/>
        </w:rPr>
        <w:t xml:space="preserve">¶4</w:t>
      </w:r>
      <w:r>
        <w:rPr>
          <w:lang w:val="en"/>
        </w:rPr>
        <w:t xml:space="preserve"> </w:t>
      </w:r>
      <w:r>
        <w:rPr>
          <w:lang w:val="en"/>
        </w:rPr>
        <w:t xml:space="preserve">Compile physical and monetary accounts for shipping emissions, including greenhouse gases and air pollutants, following the SEEA Central Framework air emissions accounting approach detailed in</w:t>
      </w:r>
      <w:r>
        <w:rPr>
          <w:lang w:val="en"/>
        </w:rPr>
        <w:t xml:space="preserve"> </w:t>
      </w:r>
      <w:hyperlink r:id="rId33">
        <w:r>
          <w:rPr>
            <w:rStyle w:val="Hyperlink"/>
            <w:bCs/>
            <w:b/>
            <w:lang w:val="en"/>
          </w:rPr>
          <w:t xml:space="preserve">TG-3.4 Flows from Economy to Environment</w:t>
        </w:r>
      </w:hyperlink>
      <w:hyperlink w:anchor="user-content-fn-3">
        <w:r>
          <w:rPr>
            <w:rStyle w:val="Hyperlink"/>
            <w:vertAlign w:val="superscript"/>
            <w:lang w:val="en"/>
          </w:rPr>
          <w:t xml:space="preserve">3</w:t>
        </w:r>
      </w:hyperlink>
    </w:p>
    <w:p>
      <w:pPr>
        <w:numPr>
          <w:ilvl w:val="0"/>
          <w:numId w:val="1003"/>
        </w:numPr>
        <w:pStyle w:val="Compact"/>
      </w:pPr>
      <w:r>
        <w:rPr>
          <w:lang w:val="en"/>
        </w:rPr>
        <w:t xml:space="preserve">¶5</w:t>
      </w:r>
      <w:r>
        <w:rPr>
          <w:lang w:val="en"/>
        </w:rPr>
        <w:t xml:space="preserve"> </w:t>
      </w:r>
      <w:r>
        <w:rPr>
          <w:lang w:val="en"/>
        </w:rPr>
        <w:t xml:space="preserve">Measure the economic contribution of maritime transport through value added, employment, and trade flows using SNA 2025 production account methods, integrating these measures with the ocean economy structural indicators in</w:t>
      </w:r>
      <w:r>
        <w:rPr>
          <w:lang w:val="en"/>
        </w:rPr>
        <w:t xml:space="preserve"> </w:t>
      </w:r>
      <w:hyperlink r:id="rId34">
        <w:r>
          <w:rPr>
            <w:rStyle w:val="Hyperlink"/>
            <w:bCs/>
            <w:b/>
            <w:lang w:val="en"/>
          </w:rPr>
          <w:t xml:space="preserve">TG-2.5 Structure and Function of the Ocean Economy</w:t>
        </w:r>
      </w:hyperlink>
      <w:hyperlink w:anchor="user-content-fn-4">
        <w:r>
          <w:rPr>
            <w:rStyle w:val="Hyperlink"/>
            <w:vertAlign w:val="superscript"/>
            <w:lang w:val="en"/>
          </w:rPr>
          <w:t xml:space="preserve">4</w:t>
        </w:r>
      </w:hyperlink>
    </w:p>
    <w:p>
      <w:pPr>
        <w:numPr>
          <w:ilvl w:val="0"/>
          <w:numId w:val="1003"/>
        </w:numPr>
        <w:pStyle w:val="Compact"/>
      </w:pPr>
      <w:r>
        <w:rPr>
          <w:lang w:val="en"/>
        </w:rPr>
        <w:t xml:space="preserve">¶6</w:t>
      </w:r>
      <w:r>
        <w:rPr>
          <w:lang w:val="en"/>
        </w:rPr>
        <w:t xml:space="preserve"> </w:t>
      </w:r>
      <w:r>
        <w:rPr>
          <w:lang w:val="en"/>
        </w:rPr>
        <w:t xml:space="preserve">Account for port infrastructure, including land use, dredging, and capital formation, within the asset accounting framework established in</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and extended in</w:t>
      </w:r>
      <w:r>
        <w:rPr>
          <w:lang w:val="en"/>
        </w:rPr>
        <w:t xml:space="preserve"> </w:t>
      </w:r>
      <w:hyperlink r:id="rId36">
        <w:r>
          <w:rPr>
            <w:rStyle w:val="Hyperlink"/>
            <w:bCs/>
            <w:b/>
            <w:lang w:val="en"/>
          </w:rPr>
          <w:t xml:space="preserve">TG-6.11 Coastal Infrastructure Accounting</w:t>
        </w:r>
      </w:hyperlink>
      <w:hyperlink w:anchor="user-content-fn-5">
        <w:r>
          <w:rPr>
            <w:rStyle w:val="Hyperlink"/>
            <w:vertAlign w:val="superscript"/>
            <w:lang w:val="en"/>
          </w:rPr>
          <w:t xml:space="preserve">5</w:t>
        </w:r>
      </w:hyperlink>
    </w:p>
    <w:p>
      <w:pPr>
        <w:numPr>
          <w:ilvl w:val="0"/>
          <w:numId w:val="1003"/>
        </w:numPr>
        <w:pStyle w:val="Compact"/>
      </w:pPr>
      <w:r>
        <w:rPr>
          <w:lang w:val="en"/>
        </w:rPr>
        <w:t xml:space="preserve">¶7</w:t>
      </w:r>
      <w:r>
        <w:rPr>
          <w:lang w:val="en"/>
        </w:rPr>
        <w:t xml:space="preserve"> </w:t>
      </w:r>
      <w:r>
        <w:rPr>
          <w:lang w:val="en"/>
        </w:rPr>
        <w:t xml:space="preserve">Record environmental interactions including ballast water, hull biofouling, anchoring impacts, and underwater noise as residual flows and ecosystem condition impacts, linking to the emissions methodology in</w:t>
      </w:r>
      <w:r>
        <w:rPr>
          <w:lang w:val="en"/>
        </w:rPr>
        <w:t xml:space="preserve"> </w:t>
      </w:r>
      <w:hyperlink r:id="rId37">
        <w:r>
          <w:rPr>
            <w:rStyle w:val="Hyperlink"/>
            <w:bCs/>
            <w:b/>
            <w:lang w:val="en"/>
          </w:rPr>
          <w:t xml:space="preserve">TG-2.8 Climate Indicators</w:t>
        </w:r>
      </w:hyperlink>
      <w:hyperlink w:anchor="user-content-fn-6">
        <w:r>
          <w:rPr>
            <w:rStyle w:val="Hyperlink"/>
            <w:vertAlign w:val="superscript"/>
            <w:lang w:val="en"/>
          </w:rPr>
          <w:t xml:space="preserve">6</w:t>
        </w:r>
      </w:hyperlink>
    </w:p>
    <w:p>
      <w:pPr>
        <w:pStyle w:val="FirstParagraph"/>
      </w:pPr>
      <w:r>
        <w:rPr>
          <w:lang w:val="en"/>
        </w:rPr>
        <w:t xml:space="preserve">¶8</w:t>
      </w:r>
      <w:r>
        <w:rPr>
          <w:lang w:val="en"/>
        </w:rPr>
        <w:t xml:space="preserve"> </w:t>
      </w:r>
      <w:r>
        <w:rPr>
          <w:lang w:val="en"/>
        </w:rPr>
        <w:t xml:space="preserve">This Circular connects maritime transport accounts to broader ocean economy measurement (</w:t>
      </w:r>
      <w:hyperlink r:id="rId34">
        <w:r>
          <w:rPr>
            <w:rStyle w:val="Hyperlink"/>
            <w:bCs/>
            <w:b/>
            <w:lang w:val="en"/>
          </w:rPr>
          <w:t xml:space="preserve">TG-2.5</w:t>
        </w:r>
      </w:hyperlink>
      <w:r>
        <w:rPr>
          <w:lang w:val="en"/>
        </w:rPr>
        <w:t xml:space="preserve">), climate policy (</w:t>
      </w:r>
      <w:hyperlink r:id="rId37">
        <w:r>
          <w:rPr>
            <w:rStyle w:val="Hyperlink"/>
            <w:bCs/>
            <w:b/>
            <w:lang w:val="en"/>
          </w:rPr>
          <w:t xml:space="preserve">TG-2.8</w:t>
        </w:r>
      </w:hyperlink>
      <w:r>
        <w:rPr>
          <w:lang w:val="en"/>
        </w:rPr>
        <w:t xml:space="preserve">), infrastructure investment (</w:t>
      </w:r>
      <w:hyperlink r:id="rId36">
        <w:r>
          <w:rPr>
            <w:rStyle w:val="Hyperlink"/>
            <w:bCs/>
            <w:b/>
            <w:lang w:val="en"/>
          </w:rPr>
          <w:t xml:space="preserve">TG-6.11</w:t>
        </w:r>
      </w:hyperlink>
      <w:r>
        <w:rPr>
          <w:lang w:val="en"/>
        </w:rPr>
        <w:t xml:space="preserve">), and labour accounts (</w:t>
      </w:r>
      <w:hyperlink r:id="rId38">
        <w:r>
          <w:rPr>
            <w:rStyle w:val="Hyperlink"/>
            <w:bCs/>
            <w:b/>
            <w:lang w:val="en"/>
          </w:rPr>
          <w:t xml:space="preserve">TG-3.5 Social Accounts</w:t>
        </w:r>
      </w:hyperlink>
      <w:r>
        <w:rPr>
          <w:lang w:val="en"/>
        </w:rPr>
        <w:t xml:space="preserve">: see Section 3.4.2 for the operational employment-to-social-accounts linkage).</w:t>
      </w:r>
    </w:p>
    <w:p>
      <w:pPr>
        <w:pStyle w:val="BodyText"/>
      </w:pPr>
      <w:r>
        <w:rPr>
          <w:lang w:val="en"/>
        </w:rPr>
        <w:t xml:space="preserve">¶9</w:t>
      </w:r>
      <w:r>
        <w:rPr>
          <w:lang w:val="en"/>
        </w:rPr>
        <w:t xml:space="preserve"> </w:t>
      </w:r>
      <w:r>
        <w:drawing>
          <wp:inline>
            <wp:extent cx="152400" cy="152400"/>
            <wp:effectExtent b="0" l="0" r="0" t="0"/>
            <wp:docPr descr="" title="" id="40"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¶10</w:t>
      </w:r>
      <w:r>
        <w:rPr>
          <w:lang w:val="en"/>
        </w:rPr>
        <w:t xml:space="preserve"> </w:t>
      </w:r>
      <w:r>
        <w:rPr>
          <w:lang w:val="en"/>
        </w:rPr>
        <w:t xml:space="preserve">This Circular specialises the ocean-economy identification method of</w:t>
      </w:r>
      <w:r>
        <w:rPr>
          <w:lang w:val="en"/>
        </w:rPr>
        <w:t xml:space="preserve"> </w:t>
      </w:r>
      <w:hyperlink r:id="rId32">
        <w:r>
          <w:rPr>
            <w:rStyle w:val="Hyperlink"/>
            <w:bCs/>
            <w:b/>
            <w:lang w:val="en"/>
          </w:rPr>
          <w:t xml:space="preserve">TG-3.3 Economic Activity Relevant to the Ocean</w:t>
        </w:r>
      </w:hyperlink>
      <w:r>
        <w:rPr>
          <w:lang w:val="en"/>
        </w:rPr>
        <w:t xml:space="preserve"> </w:t>
      </w:r>
      <w:r>
        <w:rPr>
          <w:lang w:val="en"/>
        </w:rPr>
        <w:t xml:space="preserve">for one sector: maritime transport and ports, ISIC Revision 4 Division 50 and Class 5222. TG-3.3 owns the general method for identifying ocean-related industries and the ISIC concordance; this Circular adds the sector-specific apportionment, the port asset treatment, and the vessel-activity basis for emissions.</w:t>
      </w:r>
    </w:p>
    <w:p>
      <w:pPr>
        <w:pStyle w:val="BodyText"/>
      </w:pPr>
      <w:r>
        <w:rPr>
          <w:lang w:val="en"/>
        </w:rPr>
        <w:t xml:space="preserve">¶11</w:t>
      </w:r>
      <w:r>
        <w:rPr>
          <w:lang w:val="en"/>
        </w:rPr>
        <w:t xml:space="preserve"> </w:t>
      </w:r>
      <w:r>
        <w:rPr>
          <w:lang w:val="en"/>
        </w:rPr>
        <w:t xml:space="preserve">It cross-refers for the residual-flow and air-emissions framework (</w:t>
      </w:r>
      <w:hyperlink r:id="rId33">
        <w:r>
          <w:rPr>
            <w:rStyle w:val="Hyperlink"/>
            <w:bCs/>
            <w:b/>
            <w:lang w:val="en"/>
          </w:rPr>
          <w:t xml:space="preserve">TG-3.4</w:t>
        </w:r>
      </w:hyperlink>
      <w:r>
        <w:rPr>
          <w:lang w:val="en"/>
        </w:rPr>
        <w:t xml:space="preserve">), produced asset accounting (</w:t>
      </w:r>
      <w:hyperlink r:id="rId35">
        <w:r>
          <w:rPr>
            <w:rStyle w:val="Hyperlink"/>
            <w:bCs/>
            <w:b/>
            <w:lang w:val="en"/>
          </w:rPr>
          <w:t xml:space="preserve">TG-3.1</w:t>
        </w:r>
      </w:hyperlink>
      <w:r>
        <w:rPr>
          <w:lang w:val="en"/>
        </w:rPr>
        <w:t xml:space="preserve">), employment and social accounts (</w:t>
      </w:r>
      <w:hyperlink r:id="rId38">
        <w:r>
          <w:rPr>
            <w:rStyle w:val="Hyperlink"/>
            <w:bCs/>
            <w:b/>
            <w:lang w:val="en"/>
          </w:rPr>
          <w:t xml:space="preserve">TG-3.5</w:t>
        </w:r>
      </w:hyperlink>
      <w:r>
        <w:rPr>
          <w:lang w:val="en"/>
        </w:rPr>
        <w:t xml:space="preserve">) and indicator derivation (</w:t>
      </w:r>
      <w:hyperlink r:id="rId34">
        <w:r>
          <w:rPr>
            <w:rStyle w:val="Hyperlink"/>
            <w:bCs/>
            <w:b/>
            <w:lang w:val="en"/>
          </w:rPr>
          <w:t xml:space="preserve">TG-2.5</w:t>
        </w:r>
      </w:hyperlink>
      <w:r>
        <w:rPr>
          <w:lang w:val="en"/>
        </w:rPr>
        <w:t xml:space="preserve">,</w:t>
      </w:r>
      <w:r>
        <w:rPr>
          <w:lang w:val="en"/>
        </w:rPr>
        <w:t xml:space="preserve"> </w:t>
      </w:r>
      <w:hyperlink r:id="rId37">
        <w:r>
          <w:rPr>
            <w:rStyle w:val="Hyperlink"/>
            <w:bCs/>
            <w:b/>
            <w:lang w:val="en"/>
          </w:rPr>
          <w:t xml:space="preserve">TG-2.8</w:t>
        </w:r>
      </w:hyperlink>
      <w:r>
        <w:rPr>
          <w:lang w:val="en"/>
        </w:rPr>
        <w:t xml:space="preserve">).</w:t>
      </w:r>
    </w:p>
    <w:p>
      <w:pPr>
        <w:pStyle w:val="BodyText"/>
      </w:pPr>
      <w:r>
        <w:rPr>
          <w:lang w:val="en"/>
        </w:rPr>
        <w:t xml:space="preserve">¶12</w:t>
      </w:r>
      <w:r>
        <w:rPr>
          <w:lang w:val="en"/>
        </w:rPr>
        <w:t xml:space="preserve"> </w:t>
      </w:r>
      <w:r>
        <w:rPr>
          <w:lang w:val="en"/>
        </w:rPr>
        <w:t xml:space="preserve">Port infrastructure as a produced coastal asset is</w:t>
      </w:r>
      <w:r>
        <w:rPr>
          <w:lang w:val="en"/>
        </w:rPr>
        <w:t xml:space="preserve"> </w:t>
      </w:r>
      <w:hyperlink r:id="rId36">
        <w:r>
          <w:rPr>
            <w:rStyle w:val="Hyperlink"/>
            <w:bCs/>
            <w:b/>
            <w:lang w:val="en"/>
          </w:rPr>
          <w:t xml:space="preserve">TG-6.11</w:t>
        </w:r>
      </w:hyperlink>
      <w:r>
        <w:rPr>
          <w:lang w:val="en"/>
        </w:rPr>
        <w:t xml:space="preserve">; this Circular records it as sector capital formation. Vessel-sourced litter is</w:t>
      </w:r>
      <w:r>
        <w:rPr>
          <w:lang w:val="en"/>
        </w:rPr>
        <w:t xml:space="preserve"> </w:t>
      </w:r>
      <w:hyperlink r:id="rId42">
        <w:r>
          <w:rPr>
            <w:rStyle w:val="Hyperlink"/>
            <w:bCs/>
            <w:b/>
            <w:lang w:val="en"/>
          </w:rPr>
          <w:t xml:space="preserve">TG-6.12</w:t>
        </w:r>
      </w:hyperlink>
      <w:r>
        <w:rPr>
          <w:lang w:val="en"/>
        </w:rPr>
        <w:t xml:space="preserve">.</w:t>
      </w:r>
    </w:p>
    <w:bookmarkStart w:id="45"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5"/>
    <w:p>
      <w:pPr>
        <w:pStyle w:val="BodyText"/>
      </w:pPr>
      <w:r>
        <w:rPr>
          <w:lang w:val="en"/>
        </w:rPr>
        <w:t xml:space="preserve">¶1</w:t>
      </w:r>
      <w:r>
        <w:rPr>
          <w:lang w:val="en"/>
        </w:rPr>
        <w:t xml:space="preserve"> </w:t>
      </w:r>
      <w:r>
        <w:rPr>
          <w:lang w:val="en"/>
        </w:rPr>
        <w:t xml:space="preserve">This Circular builds upon the following prerequisites:</w:t>
      </w:r>
    </w:p>
    <w:p>
      <w:pPr>
        <w:numPr>
          <w:ilvl w:val="0"/>
          <w:numId w:val="1004"/>
        </w:numPr>
      </w:pPr>
      <w:r>
        <w:rPr>
          <w:lang w:val="en"/>
        </w:rPr>
        <w:t xml:space="preserve">¶2</w:t>
      </w:r>
      <w:r>
        <w:rPr>
          <w:lang w:val="en"/>
        </w:rPr>
        <w:t xml:space="preserve"> </w:t>
      </w:r>
    </w:p>
    <w:p>
      <w:pPr>
        <w:numPr>
          <w:ilvl w:val="0"/>
          <w:numId w:val="1000"/>
        </w:numPr>
      </w:pPr>
      <w:hyperlink r:id="rId46">
        <w:r>
          <w:rPr>
            <w:rStyle w:val="Hyperlink"/>
            <w:bCs/>
            <w:b/>
            <w:lang w:val="en"/>
          </w:rPr>
          <w:t xml:space="preserve">TG-0.1 General Introduction to Ocean Accounts</w:t>
        </w:r>
      </w:hyperlink>
      <w:r>
        <w:rPr>
          <w:lang w:val="en"/>
        </w:rPr>
        <w:t xml:space="preserve"> </w:t>
      </w:r>
      <w:r>
        <w:rPr>
          <w:lang w:val="en"/>
        </w:rPr>
        <w:t xml:space="preserve">— foundational framework for GOAP Technical Guidance, including core concepts, terminology, and accounting principles.</w:t>
      </w:r>
    </w:p>
    <w:p>
      <w:pPr>
        <w:numPr>
          <w:ilvl w:val="0"/>
          <w:numId w:val="1004"/>
        </w:numPr>
      </w:pPr>
      <w:r>
        <w:rPr>
          <w:lang w:val="en"/>
        </w:rPr>
        <w:t xml:space="preserve">¶3</w:t>
      </w:r>
      <w:r>
        <w:rPr>
          <w:lang w:val="en"/>
        </w:rPr>
        <w:t xml:space="preserve"> </w:t>
      </w:r>
    </w:p>
    <w:p>
      <w:pPr>
        <w:numPr>
          <w:ilvl w:val="0"/>
          <w:numId w:val="1000"/>
        </w:numPr>
      </w:pPr>
      <w:hyperlink r:id="rId32">
        <w:r>
          <w:rPr>
            <w:rStyle w:val="Hyperlink"/>
            <w:bCs/>
            <w:b/>
            <w:lang w:val="en"/>
          </w:rPr>
          <w:t xml:space="preserve">TG-3.3 Economic Activity Relevant to the Ocean</w:t>
        </w:r>
      </w:hyperlink>
      <w:r>
        <w:rPr>
          <w:lang w:val="en"/>
        </w:rPr>
        <w:t xml:space="preserve"> </w:t>
      </w:r>
      <w:r>
        <w:rPr>
          <w:lang w:val="en"/>
        </w:rPr>
        <w:t xml:space="preserve">— general approach to compiling accounts for ocean-related economic activity, including industry classifications, supply and use tables, and the ocean economy thematic and extended account framework. The maritime transport accounts compiled under this Circular are a sector-specific application of the methods in TG-3.3.</w:t>
      </w:r>
    </w:p>
    <w:p>
      <w:pPr>
        <w:pStyle w:val="FirstParagraph"/>
      </w:pPr>
      <w:r>
        <w:rPr>
          <w:lang w:val="en"/>
        </w:rPr>
        <w:t xml:space="preserve">¶4</w:t>
      </w:r>
      <w:r>
        <w:rPr>
          <w:lang w:val="en"/>
        </w:rPr>
        <w:t xml:space="preserve"> </w:t>
      </w:r>
      <w:r>
        <w:rPr>
          <w:bCs/>
          <w:b/>
          <w:lang w:val="en"/>
        </w:rPr>
        <w:t xml:space="preserve">Related Circulars (optional but recommended):</w:t>
      </w:r>
    </w:p>
    <w:p>
      <w:pPr>
        <w:numPr>
          <w:ilvl w:val="0"/>
          <w:numId w:val="1005"/>
        </w:numPr>
        <w:pStyle w:val="Compact"/>
      </w:pPr>
      <w:r>
        <w:rPr>
          <w:lang w:val="en"/>
        </w:rPr>
        <w:t xml:space="preserve">¶5</w:t>
      </w:r>
      <w:r>
        <w:rPr>
          <w:lang w:val="en"/>
        </w:rPr>
        <w:t xml:space="preserve"> </w:t>
      </w:r>
      <w:hyperlink r:id="rId34">
        <w:r>
          <w:rPr>
            <w:rStyle w:val="Hyperlink"/>
            <w:bCs/>
            <w:b/>
            <w:lang w:val="en"/>
          </w:rPr>
          <w:t xml:space="preserve">TG-2.5 Structure and Function of the Ocean Economy</w:t>
        </w:r>
      </w:hyperlink>
      <w:r>
        <w:rPr>
          <w:lang w:val="en"/>
        </w:rPr>
        <w:t xml:space="preserve"> </w:t>
      </w:r>
      <w:r>
        <w:rPr>
          <w:lang w:val="en"/>
        </w:rPr>
        <w:t xml:space="preserve">— indicator derivation methodology for transport GVA shares, employment intensity, and export contribution.</w:t>
      </w:r>
    </w:p>
    <w:p>
      <w:pPr>
        <w:numPr>
          <w:ilvl w:val="0"/>
          <w:numId w:val="1005"/>
        </w:numPr>
        <w:pStyle w:val="Compact"/>
      </w:pPr>
      <w:r>
        <w:rPr>
          <w:lang w:val="en"/>
        </w:rPr>
        <w:t xml:space="preserve">¶6</w:t>
      </w:r>
      <w:r>
        <w:rPr>
          <w:lang w:val="en"/>
        </w:rPr>
        <w:t xml:space="preserve"> </w:t>
      </w:r>
      <w:hyperlink r:id="rId37">
        <w:r>
          <w:rPr>
            <w:rStyle w:val="Hyperlink"/>
            <w:bCs/>
            <w:b/>
            <w:lang w:val="en"/>
          </w:rPr>
          <w:t xml:space="preserve">TG-2.8 Climate Indicators</w:t>
        </w:r>
      </w:hyperlink>
      <w:r>
        <w:rPr>
          <w:lang w:val="en"/>
        </w:rPr>
        <w:t xml:space="preserve"> </w:t>
      </w:r>
      <w:r>
        <w:rPr>
          <w:lang w:val="en"/>
        </w:rPr>
        <w:t xml:space="preserve">— GHG emission indicators and integration into climate monitoring frameworks.</w:t>
      </w:r>
    </w:p>
    <w:p>
      <w:pPr>
        <w:numPr>
          <w:ilvl w:val="0"/>
          <w:numId w:val="1005"/>
        </w:numPr>
        <w:pStyle w:val="Compact"/>
      </w:pPr>
      <w:r>
        <w:rPr>
          <w:lang w:val="en"/>
        </w:rPr>
        <w:t xml:space="preserve">¶7</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 produced asset accounting framework underlying valuation of port infrastructure and vessel capital stock.</w:t>
      </w:r>
    </w:p>
    <w:p>
      <w:pPr>
        <w:numPr>
          <w:ilvl w:val="0"/>
          <w:numId w:val="1005"/>
        </w:numPr>
        <w:pStyle w:val="Compact"/>
      </w:pPr>
      <w:r>
        <w:rPr>
          <w:lang w:val="en"/>
        </w:rPr>
        <w:t xml:space="preserve">¶8</w:t>
      </w:r>
      <w:r>
        <w:rPr>
          <w:lang w:val="en"/>
        </w:rPr>
        <w:t xml:space="preserve"> </w:t>
      </w:r>
      <w:hyperlink r:id="rId33">
        <w:r>
          <w:rPr>
            <w:rStyle w:val="Hyperlink"/>
            <w:bCs/>
            <w:b/>
            <w:lang w:val="en"/>
          </w:rPr>
          <w:t xml:space="preserve">TG-3.4 Flows from Economy to Environment</w:t>
        </w:r>
      </w:hyperlink>
      <w:r>
        <w:rPr>
          <w:lang w:val="en"/>
        </w:rPr>
        <w:t xml:space="preserve"> </w:t>
      </w:r>
      <w:r>
        <w:rPr>
          <w:lang w:val="en"/>
        </w:rPr>
        <w:t xml:space="preserve">— detailed emissions accounting methodology, including classification of residual flows underpinning the shipping emissions accounts in Section 3.3.</w:t>
      </w:r>
    </w:p>
    <w:p>
      <w:pPr>
        <w:numPr>
          <w:ilvl w:val="0"/>
          <w:numId w:val="1005"/>
        </w:numPr>
        <w:pStyle w:val="Compact"/>
      </w:pPr>
      <w:r>
        <w:rPr>
          <w:lang w:val="en"/>
        </w:rPr>
        <w:t xml:space="preserve">¶9</w:t>
      </w:r>
      <w:r>
        <w:rPr>
          <w:lang w:val="en"/>
        </w:rPr>
        <w:t xml:space="preserve"> </w:t>
      </w:r>
      <w:hyperlink r:id="rId47">
        <w:r>
          <w:rPr>
            <w:rStyle w:val="Hyperlink"/>
            <w:bCs/>
            <w:b/>
            <w:lang w:val="en"/>
          </w:rPr>
          <w:t xml:space="preserve">TG-4.1 Remote Sensing</w:t>
        </w:r>
      </w:hyperlink>
      <w:r>
        <w:rPr>
          <w:lang w:val="en"/>
        </w:rPr>
        <w:t xml:space="preserve"> </w:t>
      </w:r>
      <w:r>
        <w:rPr>
          <w:lang w:val="en"/>
        </w:rPr>
        <w:t xml:space="preserve">— port area spatial delineation using satellite imagery and GIS, supporting land use mapping in Section 3.2.1.</w:t>
      </w:r>
    </w:p>
    <w:p>
      <w:pPr>
        <w:numPr>
          <w:ilvl w:val="0"/>
          <w:numId w:val="1005"/>
        </w:numPr>
        <w:pStyle w:val="Compact"/>
      </w:pPr>
      <w:r>
        <w:rPr>
          <w:lang w:val="en"/>
        </w:rPr>
        <w:t xml:space="preserve">¶10</w:t>
      </w:r>
      <w:r>
        <w:rPr>
          <w:lang w:val="en"/>
        </w:rPr>
        <w:t xml:space="preserve"> </w:t>
      </w:r>
      <w:hyperlink r:id="rId48">
        <w:r>
          <w:rPr>
            <w:rStyle w:val="Hyperlink"/>
            <w:bCs/>
            <w:b/>
            <w:lang w:val="en"/>
          </w:rPr>
          <w:t xml:space="preserve">TG-6.9 Offshore Energy</w:t>
        </w:r>
      </w:hyperlink>
      <w:r>
        <w:rPr>
          <w:lang w:val="en"/>
        </w:rPr>
        <w:t xml:space="preserve"> </w:t>
      </w:r>
      <w:r>
        <w:rPr>
          <w:lang w:val="en"/>
        </w:rPr>
        <w:t xml:space="preserve">— accounting treatment of offshore support vessels and maritime logistics of offshore energy installations.</w:t>
      </w:r>
    </w:p>
    <w:p>
      <w:pPr>
        <w:numPr>
          <w:ilvl w:val="0"/>
          <w:numId w:val="1005"/>
        </w:numPr>
        <w:pStyle w:val="Compact"/>
      </w:pPr>
      <w:r>
        <w:rPr>
          <w:lang w:val="en"/>
        </w:rPr>
        <w:t xml:space="preserve">¶11</w:t>
      </w:r>
      <w:r>
        <w:rPr>
          <w:lang w:val="en"/>
        </w:rPr>
        <w:t xml:space="preserve"> </w:t>
      </w:r>
      <w:hyperlink r:id="rId36">
        <w:r>
          <w:rPr>
            <w:rStyle w:val="Hyperlink"/>
            <w:bCs/>
            <w:b/>
            <w:lang w:val="en"/>
          </w:rPr>
          <w:t xml:space="preserve">TG-6.11 Coastal Infrastructure Accounting</w:t>
        </w:r>
      </w:hyperlink>
      <w:r>
        <w:rPr>
          <w:lang w:val="en"/>
        </w:rPr>
        <w:t xml:space="preserve"> </w:t>
      </w:r>
      <w:r>
        <w:rPr>
          <w:lang w:val="en"/>
        </w:rPr>
        <w:t xml:space="preserve">— broader infrastructure accounting framework within which port capital formation is situated.</w:t>
      </w:r>
    </w:p>
    <w:p>
      <w:pPr>
        <w:pStyle w:val="FirstParagraph"/>
      </w:pPr>
      <w:r>
        <w:rPr>
          <w:lang w:val="en"/>
        </w:rPr>
        <w:t xml:space="preserve">¶12</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49">
        <w:r>
          <w:rPr>
            <w:rStyle w:val="Hyperlink"/>
            <w:bCs/>
            <w:b/>
            <w:lang w:val="en"/>
          </w:rPr>
          <w:t xml:space="preserve">TG-0.8 Implementation Readiness Assessment</w:t>
        </w:r>
      </w:hyperlink>
      <w:r>
        <w:rPr>
          <w:lang w:val="en"/>
        </w:rPr>
        <w:t xml:space="preserve">, and is not restated here.</w:t>
      </w:r>
    </w:p>
    <w:bookmarkStart w:id="52"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2"/>
    <w:bookmarkStart w:id="55" w:name="X6d4e54f55a2685ac7587665af429dec992ca035"/>
    <w:p>
      <w:pPr>
        <w:pStyle w:val="Heading3"/>
      </w:pPr>
      <w:r>
        <w:rPr>
          <w:lang w:val="en"/>
        </w:rPr>
        <w:t xml:space="preserve">3.1</w:t>
      </w:r>
      <w:r>
        <w:rPr>
          <w:lang w:val="en"/>
        </w:rPr>
        <w:t xml:space="preserve"> </w:t>
      </w:r>
      <w:r>
        <w:rPr>
          <w:lang w:val="en"/>
        </w:rPr>
        <w:t xml:space="preserve">Maritime Transport Activities</w:t>
      </w:r>
    </w:p>
    <w:p>
      <w:pPr>
        <w:pStyle w:val="FirstParagraph"/>
      </w:pPr>
      <w:hyperlink w:anchor="X6d4e54f55a2685ac7587665af429dec992ca035">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Maritime Transport Activities”</w:t>
        </w:r>
      </w:hyperlink>
    </w:p>
    <w:bookmarkEnd w:id="55"/>
    <w:bookmarkStart w:id="58" w:name="Xa0d64b9ca158d2f8ab73250cf3394710fd03a80"/>
    <w:p>
      <w:pPr>
        <w:pStyle w:val="Heading4"/>
      </w:pPr>
      <w:r>
        <w:rPr>
          <w:lang w:val="en"/>
        </w:rPr>
        <w:t xml:space="preserve">3.1.1</w:t>
      </w:r>
      <w:r>
        <w:rPr>
          <w:lang w:val="en"/>
        </w:rPr>
        <w:t xml:space="preserve"> </w:t>
      </w:r>
      <w:r>
        <w:rPr>
          <w:lang w:val="en"/>
        </w:rPr>
        <w:t xml:space="preserve">Industry Classification Framework</w:t>
      </w:r>
    </w:p>
    <w:p>
      <w:pPr>
        <w:pStyle w:val="FirstParagraph"/>
      </w:pPr>
      <w:hyperlink w:anchor="Xa0d64b9ca158d2f8ab73250cf3394710fd03a80">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Industry Classification Framework”</w:t>
        </w:r>
      </w:hyperlink>
    </w:p>
    <w:bookmarkEnd w:id="58"/>
    <w:p>
      <w:pPr>
        <w:pStyle w:val="BodyText"/>
      </w:pPr>
      <w:r>
        <w:rPr>
          <w:lang w:val="en"/>
        </w:rPr>
        <w:t xml:space="preserve">¶1</w:t>
      </w:r>
      <w:r>
        <w:rPr>
          <w:lang w:val="en"/>
        </w:rPr>
        <w:t xml:space="preserve"> </w:t>
      </w:r>
      <w:r>
        <w:rPr>
          <w:lang w:val="en"/>
        </w:rPr>
        <w:t xml:space="preserve">Maritime transport activities are classified according to ISIC Revision 4.</w:t>
      </w:r>
      <w:hyperlink w:anchor="user-content-fn-7">
        <w:r>
          <w:rPr>
            <w:rStyle w:val="Hyperlink"/>
            <w:vertAlign w:val="superscript"/>
            <w:lang w:val="en"/>
          </w:rPr>
          <w:t xml:space="preserve">7</w:t>
        </w:r>
      </w:hyperlink>
    </w:p>
    <w:p>
      <w:pPr>
        <w:pStyle w:val="BodyText"/>
      </w:pPr>
      <w:r>
        <w:rPr>
          <w:lang w:val="en"/>
        </w:rPr>
        <w:t xml:space="preserve">¶2</w:t>
      </w:r>
      <w:r>
        <w:rPr>
          <w:lang w:val="en"/>
        </w:rPr>
        <w:t xml:space="preserve"> </w:t>
      </w:r>
      <w:r>
        <w:rPr>
          <w:bCs/>
          <w:b/>
          <w:lang w:val="en"/>
        </w:rPr>
        <w:t xml:space="preserve">Division 50 — Water Transport</w:t>
      </w:r>
    </w:p>
    <w:p>
      <w:pPr>
        <w:pStyle w:val="BodyText"/>
      </w:pPr>
      <w:r>
        <w:rPr>
          <w:lang w:val="en"/>
        </w:rPr>
        <w:t xml:space="preserve">¶3</w:t>
      </w:r>
      <w:r>
        <w:rPr>
          <w:lang w:val="en"/>
        </w:rPr>
        <w:t xml:space="preserve"> </w:t>
      </w:r>
      <w:r>
        <w:rPr>
          <w:lang w:val="en"/>
        </w:rPr>
        <w:t xml:space="preserve">This division encompasses the transport of passengers or freight over water, whether scheduled or not, distinguishing between sea-going vessels and inland waterway vessels based on vessel type.</w:t>
      </w:r>
      <w:hyperlink w:anchor="user-content-fn-8">
        <w:r>
          <w:rPr>
            <w:rStyle w:val="Hyperlink"/>
            <w:vertAlign w:val="superscript"/>
            <w:lang w:val="en"/>
          </w:rPr>
          <w:t xml:space="preserve">8</w:t>
        </w:r>
      </w:hyperlink>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ISIC Code</w:t>
            </w:r>
          </w:p>
        </w:tc>
        <w:tc>
          <w:tcPr/>
          <w:p>
            <w:pPr>
              <w:pStyle w:val="Compact"/>
              <w:jc w:val="left"/>
            </w:pPr>
            <w:r>
              <w:rPr>
                <w:lang w:val="en"/>
              </w:rPr>
              <w:t xml:space="preserve">Description</w:t>
            </w:r>
          </w:p>
        </w:tc>
        <w:tc>
          <w:tcPr/>
          <w:p>
            <w:pPr>
              <w:pStyle w:val="Compact"/>
              <w:jc w:val="left"/>
            </w:pPr>
            <w:r>
              <w:rPr>
                <w:lang w:val="en"/>
              </w:rPr>
              <w:t xml:space="preserve">Scope</w:t>
            </w:r>
          </w:p>
        </w:tc>
      </w:tr>
      <w:tr>
        <w:tc>
          <w:tcPr/>
          <w:p>
            <w:pPr>
              <w:pStyle w:val="Compact"/>
              <w:jc w:val="left"/>
            </w:pPr>
            <w:r>
              <w:rPr>
                <w:lang w:val="en"/>
              </w:rPr>
              <w:t xml:space="preserve">501</w:t>
            </w:r>
          </w:p>
        </w:tc>
        <w:tc>
          <w:tcPr/>
          <w:p>
            <w:pPr>
              <w:pStyle w:val="Compact"/>
              <w:jc w:val="left"/>
            </w:pPr>
            <w:r>
              <w:rPr>
                <w:lang w:val="en"/>
              </w:rPr>
              <w:t xml:space="preserve">Sea and coastal water transport</w:t>
            </w:r>
          </w:p>
        </w:tc>
        <w:tc>
          <w:tcPr/>
          <w:p>
            <w:pPr>
              <w:pStyle w:val="Compact"/>
              <w:jc w:val="left"/>
            </w:pPr>
            <w:r>
              <w:rPr>
                <w:lang w:val="en"/>
              </w:rPr>
              <w:t xml:space="preserve">Transport on sea-going vessels</w:t>
            </w:r>
          </w:p>
        </w:tc>
      </w:tr>
      <w:tr>
        <w:tc>
          <w:tcPr/>
          <w:p>
            <w:pPr>
              <w:pStyle w:val="Compact"/>
              <w:jc w:val="left"/>
            </w:pPr>
            <w:r>
              <w:rPr>
                <w:lang w:val="en"/>
              </w:rPr>
              <w:t xml:space="preserve">5011</w:t>
            </w:r>
          </w:p>
        </w:tc>
        <w:tc>
          <w:tcPr/>
          <w:p>
            <w:pPr>
              <w:pStyle w:val="Compact"/>
              <w:jc w:val="left"/>
            </w:pPr>
            <w:r>
              <w:rPr>
                <w:lang w:val="en"/>
              </w:rPr>
              <w:t xml:space="preserve">Sea and coastal passenger water transport</w:t>
            </w:r>
          </w:p>
        </w:tc>
        <w:tc>
          <w:tcPr/>
          <w:p>
            <w:pPr>
              <w:pStyle w:val="Compact"/>
              <w:jc w:val="left"/>
            </w:pPr>
            <w:r>
              <w:rPr>
                <w:lang w:val="en"/>
              </w:rPr>
              <w:t xml:space="preserve">Ferries, cruises, water taxis on sea-going vessels</w:t>
            </w:r>
          </w:p>
        </w:tc>
      </w:tr>
      <w:tr>
        <w:tc>
          <w:tcPr/>
          <w:p>
            <w:pPr>
              <w:pStyle w:val="Compact"/>
              <w:jc w:val="left"/>
            </w:pPr>
            <w:r>
              <w:rPr>
                <w:lang w:val="en"/>
              </w:rPr>
              <w:t xml:space="preserve">5012</w:t>
            </w:r>
          </w:p>
        </w:tc>
        <w:tc>
          <w:tcPr/>
          <w:p>
            <w:pPr>
              <w:pStyle w:val="Compact"/>
              <w:jc w:val="left"/>
            </w:pPr>
            <w:r>
              <w:rPr>
                <w:lang w:val="en"/>
              </w:rPr>
              <w:t xml:space="preserve">Sea and coastal freight water transport</w:t>
            </w:r>
          </w:p>
        </w:tc>
        <w:tc>
          <w:tcPr/>
          <w:p>
            <w:pPr>
              <w:pStyle w:val="Compact"/>
              <w:jc w:val="left"/>
            </w:pPr>
            <w:r>
              <w:rPr>
                <w:lang w:val="en"/>
              </w:rPr>
              <w:t xml:space="preserve">Container ships, tankers, bulk carriers, general cargo</w:t>
            </w:r>
          </w:p>
        </w:tc>
      </w:tr>
      <w:tr>
        <w:tc>
          <w:tcPr/>
          <w:p>
            <w:pPr>
              <w:pStyle w:val="Compact"/>
              <w:jc w:val="left"/>
            </w:pPr>
            <w:r>
              <w:rPr>
                <w:lang w:val="en"/>
              </w:rPr>
              <w:t xml:space="preserve">502</w:t>
            </w:r>
          </w:p>
        </w:tc>
        <w:tc>
          <w:tcPr/>
          <w:p>
            <w:pPr>
              <w:pStyle w:val="Compact"/>
              <w:jc w:val="left"/>
            </w:pPr>
            <w:r>
              <w:rPr>
                <w:lang w:val="en"/>
              </w:rPr>
              <w:t xml:space="preserve">Inland water transport</w:t>
            </w:r>
          </w:p>
        </w:tc>
        <w:tc>
          <w:tcPr/>
          <w:p>
            <w:pPr>
              <w:pStyle w:val="Compact"/>
              <w:jc w:val="left"/>
            </w:pPr>
            <w:r>
              <w:rPr>
                <w:lang w:val="en"/>
              </w:rPr>
              <w:t xml:space="preserve">Transport on vessels not suitable for sea transport</w:t>
            </w:r>
          </w:p>
        </w:tc>
      </w:tr>
      <w:tr>
        <w:tc>
          <w:tcPr/>
          <w:p>
            <w:pPr>
              <w:pStyle w:val="Compact"/>
              <w:jc w:val="left"/>
            </w:pPr>
            <w:r>
              <w:rPr>
                <w:lang w:val="en"/>
              </w:rPr>
              <w:t xml:space="preserve">5021</w:t>
            </w:r>
          </w:p>
        </w:tc>
        <w:tc>
          <w:tcPr/>
          <w:p>
            <w:pPr>
              <w:pStyle w:val="Compact"/>
              <w:jc w:val="left"/>
            </w:pPr>
            <w:r>
              <w:rPr>
                <w:lang w:val="en"/>
              </w:rPr>
              <w:t xml:space="preserve">Inland passenger water transport</w:t>
            </w:r>
          </w:p>
        </w:tc>
        <w:tc>
          <w:tcPr/>
          <w:p>
            <w:pPr>
              <w:pStyle w:val="Compact"/>
              <w:jc w:val="left"/>
            </w:pPr>
            <w:r>
              <w:rPr>
                <w:lang w:val="en"/>
              </w:rPr>
              <w:t xml:space="preserve">Rivers, canals, lakes, harbours</w:t>
            </w:r>
          </w:p>
        </w:tc>
      </w:tr>
      <w:tr>
        <w:tc>
          <w:tcPr/>
          <w:p>
            <w:pPr>
              <w:pStyle w:val="Compact"/>
              <w:jc w:val="left"/>
            </w:pPr>
            <w:r>
              <w:rPr>
                <w:lang w:val="en"/>
              </w:rPr>
              <w:t xml:space="preserve">5022</w:t>
            </w:r>
          </w:p>
        </w:tc>
        <w:tc>
          <w:tcPr/>
          <w:p>
            <w:pPr>
              <w:pStyle w:val="Compact"/>
              <w:jc w:val="left"/>
            </w:pPr>
            <w:r>
              <w:rPr>
                <w:lang w:val="en"/>
              </w:rPr>
              <w:t xml:space="preserve">Inland freight water transport</w:t>
            </w:r>
          </w:p>
        </w:tc>
        <w:tc>
          <w:tcPr/>
          <w:p>
            <w:pPr>
              <w:pStyle w:val="Compact"/>
              <w:jc w:val="left"/>
            </w:pPr>
            <w:r>
              <w:rPr>
                <w:lang w:val="en"/>
              </w:rPr>
              <w:t xml:space="preserve">Inland freight on waterways and ports</w:t>
            </w:r>
          </w:p>
        </w:tc>
      </w:tr>
    </w:tbl>
    <w:p>
      <w:pPr>
        <w:pStyle w:val="BodyText"/>
      </w:pPr>
      <w:r>
        <w:rPr>
          <w:lang w:val="en"/>
        </w:rPr>
        <w:t xml:space="preserve">¶4</w:t>
      </w:r>
      <w:r>
        <w:rPr>
          <w:lang w:val="en"/>
        </w:rPr>
        <w:t xml:space="preserve"> </w:t>
      </w:r>
      <w:r>
        <w:rPr>
          <w:lang w:val="en"/>
        </w:rPr>
        <w:t xml:space="preserve">These codes have been verified against the official ISIC Rev.4 publication.</w:t>
      </w:r>
      <w:hyperlink w:anchor="user-content-fn-9">
        <w:r>
          <w:rPr>
            <w:rStyle w:val="Hyperlink"/>
            <w:vertAlign w:val="superscript"/>
            <w:lang w:val="en"/>
          </w:rPr>
          <w:t xml:space="preserve">9</w:t>
        </w:r>
      </w:hyperlink>
      <w:r>
        <w:rPr>
          <w:lang w:val="en"/>
        </w:rPr>
        <w:t xml:space="preserve"> </w:t>
      </w:r>
      <w:r>
        <w:rPr>
          <w:lang w:val="en"/>
        </w:rPr>
        <w:t xml:space="preserve">Compilers should also note the correspondence with the Central Product Classification (CPC) Ver.2.1 for product-level analysis of transport services, which aligns with the supply and use table approach described in</w:t>
      </w:r>
      <w:r>
        <w:rPr>
          <w:lang w:val="en"/>
        </w:rPr>
        <w:t xml:space="preserve"> </w:t>
      </w:r>
      <w:hyperlink r:id="rId32">
        <w:r>
          <w:rPr>
            <w:rStyle w:val="Hyperlink"/>
            <w:bCs/>
            <w:b/>
            <w:lang w:val="en"/>
          </w:rPr>
          <w:t xml:space="preserve">TG-3.3 Economic Activity Relevant to the Ocean</w:t>
        </w:r>
      </w:hyperlink>
      <w:r>
        <w:rPr>
          <w:lang w:val="en"/>
        </w:rPr>
        <w:t xml:space="preserve">.</w:t>
      </w:r>
    </w:p>
    <w:p>
      <w:pPr>
        <w:pStyle w:val="BodyText"/>
      </w:pPr>
      <w:r>
        <w:rPr>
          <w:lang w:val="en"/>
        </w:rPr>
        <w:t xml:space="preserve">¶5</w:t>
      </w:r>
      <w:r>
        <w:rPr>
          <w:lang w:val="en"/>
        </w:rPr>
        <w:t xml:space="preserve"> </w:t>
      </w:r>
      <w:r>
        <w:rPr>
          <w:bCs/>
          <w:b/>
          <w:lang w:val="en"/>
        </w:rPr>
        <w:t xml:space="preserve">Inland waterway transport (ISIC 502).</w:t>
      </w:r>
      <w:r>
        <w:rPr>
          <w:lang w:val="en"/>
        </w:rPr>
        <w:t xml:space="preserve"> </w:t>
      </w:r>
      <w:r>
        <w:rPr>
          <w:lang w:val="en"/>
        </w:rPr>
        <w:t xml:space="preserve">For inland navigation emissions, compilers should refer to the IPCC 2006 Guidelines, Volume 2, Chapter 3, which provides default emission factors for water-borne navigation including inland vessels.</w:t>
      </w:r>
      <w:hyperlink w:anchor="user-content-fn-9a">
        <w:r>
          <w:rPr>
            <w:rStyle w:val="Hyperlink"/>
            <w:vertAlign w:val="superscript"/>
            <w:lang w:val="en"/>
          </w:rPr>
          <w:t xml:space="preserve">10</w:t>
        </w:r>
      </w:hyperlink>
      <w:r>
        <w:rPr>
          <w:lang w:val="en"/>
        </w:rPr>
        <w:t xml:space="preserve"> </w:t>
      </w:r>
      <w:r>
        <w:rPr>
          <w:lang w:val="en"/>
        </w:rPr>
        <w:t xml:space="preserve">Vessels operating in both inland and coastal environments should be classified by predominant area of operation. Compilers should document the classification rule in metadata and apply it consistently across the time series.</w:t>
      </w:r>
    </w:p>
    <w:p>
      <w:pPr>
        <w:pStyle w:val="BodyText"/>
      </w:pPr>
      <w:r>
        <w:rPr>
          <w:lang w:val="en"/>
        </w:rPr>
        <w:t xml:space="preserve">¶6</w:t>
      </w:r>
      <w:r>
        <w:rPr>
          <w:lang w:val="en"/>
        </w:rPr>
        <w:t xml:space="preserve"> </w:t>
      </w:r>
      <w:r>
        <w:rPr>
          <w:bCs/>
          <w:b/>
          <w:lang w:val="en"/>
        </w:rPr>
        <w:t xml:space="preserve">Supporting Activities (Division 52)</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ISIC Code</w:t>
            </w:r>
          </w:p>
        </w:tc>
        <w:tc>
          <w:tcPr/>
          <w:p>
            <w:pPr>
              <w:pStyle w:val="Compact"/>
              <w:jc w:val="left"/>
            </w:pPr>
            <w:r>
              <w:rPr>
                <w:lang w:val="en"/>
              </w:rPr>
              <w:t xml:space="preserve">Description</w:t>
            </w:r>
          </w:p>
        </w:tc>
        <w:tc>
          <w:tcPr/>
          <w:p>
            <w:pPr>
              <w:pStyle w:val="Compact"/>
              <w:jc w:val="left"/>
            </w:pPr>
            <w:r>
              <w:rPr>
                <w:lang w:val="en"/>
              </w:rPr>
              <w:t xml:space="preserve">Scope</w:t>
            </w:r>
          </w:p>
        </w:tc>
        <w:tc>
          <w:tcPr/>
          <w:p>
            <w:pPr>
              <w:pStyle w:val="Compact"/>
              <w:jc w:val="left"/>
            </w:pPr>
            <w:r>
              <w:rPr>
                <w:lang w:val="en"/>
              </w:rPr>
              <w:t xml:space="preserve">Coverage</w:t>
            </w:r>
          </w:p>
        </w:tc>
      </w:tr>
      <w:tr>
        <w:tc>
          <w:tcPr/>
          <w:p>
            <w:pPr>
              <w:pStyle w:val="Compact"/>
              <w:jc w:val="left"/>
            </w:pPr>
            <w:r>
              <w:rPr>
                <w:lang w:val="en"/>
              </w:rPr>
              <w:t xml:space="preserve">5222</w:t>
            </w:r>
          </w:p>
        </w:tc>
        <w:tc>
          <w:tcPr/>
          <w:p>
            <w:pPr>
              <w:pStyle w:val="Compact"/>
              <w:jc w:val="left"/>
            </w:pPr>
            <w:r>
              <w:rPr>
                <w:lang w:val="en"/>
              </w:rPr>
              <w:t xml:space="preserve">Service activities incidental to water transportation</w:t>
            </w:r>
          </w:p>
        </w:tc>
        <w:tc>
          <w:tcPr/>
          <w:p>
            <w:pPr>
              <w:pStyle w:val="Compact"/>
              <w:jc w:val="left"/>
            </w:pPr>
            <w:r>
              <w:rPr>
                <w:lang w:val="en"/>
              </w:rPr>
              <w:t xml:space="preserve">Harbour operations, pilotage, lighterage, vessel salvage, navigation services, berthing</w:t>
            </w:r>
          </w:p>
        </w:tc>
        <w:tc>
          <w:tcPr/>
          <w:p>
            <w:pPr>
              <w:pStyle w:val="Compact"/>
              <w:jc w:val="left"/>
            </w:pPr>
            <w:r>
              <w:rPr>
                <w:lang w:val="en"/>
              </w:rPr>
              <w:t xml:space="preserve">Mandatory</w:t>
            </w:r>
          </w:p>
        </w:tc>
      </w:tr>
      <w:tr>
        <w:tc>
          <w:tcPr/>
          <w:p>
            <w:pPr>
              <w:pStyle w:val="Compact"/>
              <w:jc w:val="left"/>
            </w:pPr>
            <w:r>
              <w:rPr>
                <w:lang w:val="en"/>
              </w:rPr>
              <w:t xml:space="preserve">5224</w:t>
            </w:r>
          </w:p>
        </w:tc>
        <w:tc>
          <w:tcPr/>
          <w:p>
            <w:pPr>
              <w:pStyle w:val="Compact"/>
              <w:jc w:val="left"/>
            </w:pPr>
            <w:r>
              <w:rPr>
                <w:lang w:val="en"/>
              </w:rPr>
              <w:t xml:space="preserve">Cargo handling</w:t>
            </w:r>
          </w:p>
        </w:tc>
        <w:tc>
          <w:tcPr/>
          <w:p>
            <w:pPr>
              <w:pStyle w:val="Compact"/>
              <w:jc w:val="left"/>
            </w:pPr>
            <w:r>
              <w:rPr>
                <w:lang w:val="en"/>
              </w:rPr>
              <w:t xml:space="preserve">Loading and unloading of vessels (port portion)</w:t>
            </w:r>
          </w:p>
        </w:tc>
        <w:tc>
          <w:tcPr/>
          <w:p>
            <w:pPr>
              <w:pStyle w:val="Compact"/>
              <w:jc w:val="left"/>
            </w:pPr>
            <w:r>
              <w:rPr>
                <w:lang w:val="en"/>
              </w:rPr>
              <w:t xml:space="preserve">Mandatory (apportioned by maritime ratio)</w:t>
            </w:r>
          </w:p>
        </w:tc>
      </w:tr>
      <w:tr>
        <w:tc>
          <w:tcPr/>
          <w:p>
            <w:pPr>
              <w:pStyle w:val="Compact"/>
              <w:jc w:val="left"/>
            </w:pPr>
            <w:r>
              <w:rPr>
                <w:lang w:val="en"/>
              </w:rPr>
              <w:t xml:space="preserve">5229</w:t>
            </w:r>
          </w:p>
        </w:tc>
        <w:tc>
          <w:tcPr/>
          <w:p>
            <w:pPr>
              <w:pStyle w:val="Compact"/>
              <w:jc w:val="left"/>
            </w:pPr>
            <w:r>
              <w:rPr>
                <w:lang w:val="en"/>
              </w:rPr>
              <w:t xml:space="preserve">Other transportation support activities</w:t>
            </w:r>
          </w:p>
        </w:tc>
        <w:tc>
          <w:tcPr/>
          <w:p>
            <w:pPr>
              <w:pStyle w:val="Compact"/>
              <w:jc w:val="left"/>
            </w:pPr>
            <w:r>
              <w:rPr>
                <w:lang w:val="en"/>
              </w:rPr>
              <w:t xml:space="preserve">Freight forwarding, customs agencies</w:t>
            </w:r>
          </w:p>
        </w:tc>
        <w:tc>
          <w:tcPr/>
          <w:p>
            <w:pPr>
              <w:pStyle w:val="Compact"/>
              <w:jc w:val="left"/>
            </w:pPr>
            <w:r>
              <w:rPr>
                <w:lang w:val="en"/>
              </w:rPr>
              <w:t xml:space="preserve">Supplementary</w:t>
            </w:r>
          </w:p>
        </w:tc>
      </w:tr>
    </w:tbl>
    <w:p>
      <w:pPr>
        <w:pStyle w:val="BodyText"/>
      </w:pPr>
      <w:r>
        <w:rPr>
          <w:lang w:val="en"/>
        </w:rPr>
        <w:t xml:space="preserve">¶7</w:t>
      </w:r>
      <w:r>
        <w:rPr>
          <w:lang w:val="en"/>
        </w:rPr>
        <w:t xml:space="preserve"> </w:t>
      </w:r>
      <w:r>
        <w:rPr>
          <w:lang w:val="en"/>
        </w:rPr>
        <w:t xml:space="preserve">The “Coverage” column distinguishes ISIC classes that are mandatory components of maritime transport accounts (ISIC 5222 and the maritime-attributable share of ISIC 5224) from those that are supplementary. ISIC 5224 (Cargo Handling) covers both maritime and non-maritime cargo handling. Compilers should apply a maritime ratio to apportion the maritime share, as illustrated in the worked example in Section 3.7 using an illustrative 0.70 ratio.</w:t>
      </w:r>
      <w:hyperlink w:anchor="user-content-fn-10">
        <w:r>
          <w:rPr>
            <w:rStyle w:val="Hyperlink"/>
            <w:vertAlign w:val="superscript"/>
            <w:lang w:val="en"/>
          </w:rPr>
          <w:t xml:space="preserve">11</w:t>
        </w:r>
      </w:hyperlink>
    </w:p>
    <w:p>
      <w:pPr>
        <w:pStyle w:val="BodyText"/>
      </w:pPr>
      <w:r>
        <w:rPr>
          <w:lang w:val="en"/>
        </w:rPr>
        <w:t xml:space="preserve">¶8</w:t>
      </w:r>
      <w:r>
        <w:rPr>
          <w:lang w:val="en"/>
        </w:rPr>
        <w:t xml:space="preserve"> </w:t>
      </w:r>
      <w:r>
        <w:rPr>
          <w:iCs/>
          <w:i/>
          <w:lang w:val="en"/>
        </w:rPr>
        <w:t xml:space="preserve">(Note: ISIC Division 30, ship building [3011] and pleasure boats [3012], is excluded from TG-6.10 scope. Record these under general industry accounts.)</w:t>
      </w:r>
    </w:p>
    <w:bookmarkStart w:id="61" w:name="X8c2128d7ec1f2ca71d97cd81fb9939d8046afd4"/>
    <w:p>
      <w:pPr>
        <w:pStyle w:val="Heading4"/>
      </w:pPr>
      <w:r>
        <w:rPr>
          <w:lang w:val="en"/>
        </w:rPr>
        <w:t xml:space="preserve">3.1.2</w:t>
      </w:r>
      <w:r>
        <w:rPr>
          <w:lang w:val="en"/>
        </w:rPr>
        <w:t xml:space="preserve"> </w:t>
      </w:r>
      <w:r>
        <w:rPr>
          <w:lang w:val="en"/>
        </w:rPr>
        <w:t xml:space="preserve">Vessel Categories</w:t>
      </w:r>
    </w:p>
    <w:p>
      <w:pPr>
        <w:pStyle w:val="FirstParagraph"/>
      </w:pPr>
      <w:hyperlink w:anchor="X8c2128d7ec1f2ca71d97cd81fb9939d8046afd4">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Vessel Categories”</w:t>
        </w:r>
      </w:hyperlink>
    </w:p>
    <w:bookmarkEnd w:id="61"/>
    <w:p>
      <w:pPr>
        <w:pStyle w:val="BodyText"/>
      </w:pPr>
      <w:r>
        <w:rPr>
          <w:lang w:val="en"/>
        </w:rPr>
        <w:t xml:space="preserve">¶1</w:t>
      </w:r>
      <w:r>
        <w:rPr>
          <w:lang w:val="en"/>
        </w:rPr>
        <w:t xml:space="preserve"> </w:t>
      </w:r>
      <w:r>
        <w:rPr>
          <w:lang w:val="en"/>
        </w:rPr>
        <w:t xml:space="preserve">For accounting purposes, the commercial fleet may be disaggregated by vessel type. Table 3.1.1 below summarises the principal categories</w:t>
      </w:r>
      <w:hyperlink w:anchor="user-content-fn-11">
        <w:r>
          <w:rPr>
            <w:rStyle w:val="Hyperlink"/>
            <w:vertAlign w:val="superscript"/>
            <w:lang w:val="en"/>
          </w:rPr>
          <w:t xml:space="preserve">12</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Vessel category</w:t>
            </w:r>
          </w:p>
        </w:tc>
        <w:tc>
          <w:tcPr/>
          <w:p>
            <w:pPr>
              <w:pStyle w:val="Compact"/>
              <w:jc w:val="left"/>
            </w:pPr>
            <w:r>
              <w:rPr>
                <w:lang w:val="en"/>
              </w:rPr>
              <w:t xml:space="preserve">Description</w:t>
            </w:r>
          </w:p>
        </w:tc>
      </w:tr>
      <w:tr>
        <w:tc>
          <w:tcPr/>
          <w:p>
            <w:pPr>
              <w:pStyle w:val="Compact"/>
              <w:jc w:val="left"/>
            </w:pPr>
            <w:r>
              <w:rPr>
                <w:bCs/>
                <w:b/>
                <w:lang w:val="en"/>
              </w:rPr>
              <w:t xml:space="preserve">Container vessels</w:t>
            </w:r>
          </w:p>
        </w:tc>
        <w:tc>
          <w:tcPr/>
          <w:p>
            <w:pPr>
              <w:pStyle w:val="Compact"/>
              <w:jc w:val="left"/>
            </w:pPr>
            <w:r>
              <w:rPr>
                <w:lang w:val="en"/>
              </w:rPr>
              <w:t xml:space="preserve">Carry standardised cargo containers.</w:t>
            </w:r>
          </w:p>
        </w:tc>
      </w:tr>
      <w:tr>
        <w:tc>
          <w:tcPr/>
          <w:p>
            <w:pPr>
              <w:pStyle w:val="Compact"/>
              <w:jc w:val="left"/>
            </w:pPr>
            <w:r>
              <w:rPr>
                <w:bCs/>
                <w:b/>
                <w:lang w:val="en"/>
              </w:rPr>
              <w:t xml:space="preserve">Bulk carriers</w:t>
            </w:r>
          </w:p>
        </w:tc>
        <w:tc>
          <w:tcPr/>
          <w:p>
            <w:pPr>
              <w:pStyle w:val="Compact"/>
              <w:jc w:val="left"/>
            </w:pPr>
            <w:r>
              <w:rPr>
                <w:lang w:val="en"/>
              </w:rPr>
              <w:t xml:space="preserve">Dry bulk cargo (grains, ores, coal).</w:t>
            </w:r>
          </w:p>
        </w:tc>
      </w:tr>
      <w:tr>
        <w:tc>
          <w:tcPr/>
          <w:p>
            <w:pPr>
              <w:pStyle w:val="Compact"/>
              <w:jc w:val="left"/>
            </w:pPr>
            <w:r>
              <w:rPr>
                <w:bCs/>
                <w:b/>
                <w:lang w:val="en"/>
              </w:rPr>
              <w:t xml:space="preserve">Tankers</w:t>
            </w:r>
          </w:p>
        </w:tc>
        <w:tc>
          <w:tcPr/>
          <w:p>
            <w:pPr>
              <w:pStyle w:val="Compact"/>
              <w:jc w:val="left"/>
            </w:pPr>
            <w:r>
              <w:rPr>
                <w:lang w:val="en"/>
              </w:rPr>
              <w:t xml:space="preserve">Liquid bulk cargo (oil, chemicals, liquefied gas).</w:t>
            </w:r>
          </w:p>
        </w:tc>
      </w:tr>
      <w:tr>
        <w:tc>
          <w:tcPr/>
          <w:p>
            <w:pPr>
              <w:pStyle w:val="Compact"/>
              <w:jc w:val="left"/>
            </w:pPr>
            <w:r>
              <w:rPr>
                <w:bCs/>
                <w:b/>
                <w:lang w:val="en"/>
              </w:rPr>
              <w:t xml:space="preserve">General cargo vessels</w:t>
            </w:r>
          </w:p>
        </w:tc>
        <w:tc>
          <w:tcPr/>
          <w:p>
            <w:pPr>
              <w:pStyle w:val="Compact"/>
              <w:jc w:val="left"/>
            </w:pPr>
            <w:r>
              <w:rPr>
                <w:lang w:val="en"/>
              </w:rPr>
              <w:t xml:space="preserve">Non-containerised cargo.</w:t>
            </w:r>
          </w:p>
        </w:tc>
      </w:tr>
      <w:tr>
        <w:tc>
          <w:tcPr/>
          <w:p>
            <w:pPr>
              <w:pStyle w:val="Compact"/>
              <w:jc w:val="left"/>
            </w:pPr>
            <w:r>
              <w:rPr>
                <w:bCs/>
                <w:b/>
                <w:lang w:val="en"/>
              </w:rPr>
              <w:t xml:space="preserve">Roll-on/roll-off (Ro-Ro) vessels</w:t>
            </w:r>
          </w:p>
        </w:tc>
        <w:tc>
          <w:tcPr/>
          <w:p>
            <w:pPr>
              <w:pStyle w:val="Compact"/>
              <w:jc w:val="left"/>
            </w:pPr>
            <w:r>
              <w:rPr>
                <w:lang w:val="en"/>
              </w:rPr>
              <w:t xml:space="preserve">Wheeled cargo.</w:t>
            </w:r>
          </w:p>
        </w:tc>
      </w:tr>
      <w:tr>
        <w:tc>
          <w:tcPr/>
          <w:p>
            <w:pPr>
              <w:pStyle w:val="Compact"/>
              <w:jc w:val="left"/>
            </w:pPr>
            <w:r>
              <w:rPr>
                <w:bCs/>
                <w:b/>
                <w:lang w:val="en"/>
              </w:rPr>
              <w:t xml:space="preserve">Passenger vessels</w:t>
            </w:r>
          </w:p>
        </w:tc>
        <w:tc>
          <w:tcPr/>
          <w:p>
            <w:pPr>
              <w:pStyle w:val="Compact"/>
              <w:jc w:val="left"/>
            </w:pPr>
            <w:r>
              <w:rPr>
                <w:lang w:val="en"/>
              </w:rPr>
              <w:t xml:space="preserve">Ferries and cruise ships.</w:t>
            </w:r>
          </w:p>
        </w:tc>
      </w:tr>
      <w:tr>
        <w:tc>
          <w:tcPr/>
          <w:p>
            <w:pPr>
              <w:pStyle w:val="Compact"/>
              <w:jc w:val="left"/>
            </w:pPr>
            <w:r>
              <w:rPr>
                <w:bCs/>
                <w:b/>
                <w:lang w:val="en"/>
              </w:rPr>
              <w:t xml:space="preserve">Fishing vessels</w:t>
            </w:r>
          </w:p>
        </w:tc>
        <w:tc>
          <w:tcPr/>
          <w:p>
            <w:pPr>
              <w:pStyle w:val="Compact"/>
              <w:jc w:val="left"/>
            </w:pPr>
            <w:r>
              <w:rPr>
                <w:lang w:val="en"/>
              </w:rPr>
              <w:t xml:space="preserve">Commercial fishing (cross-reference</w:t>
            </w:r>
            <w:r>
              <w:rPr>
                <w:lang w:val="en"/>
              </w:rPr>
              <w:t xml:space="preserve"> </w:t>
            </w:r>
            <w:hyperlink r:id="rId62">
              <w:r>
                <w:rPr>
                  <w:rStyle w:val="Hyperlink"/>
                  <w:bCs/>
                  <w:b/>
                  <w:lang w:val="en"/>
                </w:rPr>
                <w:t xml:space="preserve">TG-6.7 Fisheries Accounting: Integrating Stock Assessment</w:t>
              </w:r>
            </w:hyperlink>
            <w:r>
              <w:rPr>
                <w:lang w:val="en"/>
              </w:rPr>
              <w:t xml:space="preserve">).</w:t>
            </w:r>
          </w:p>
        </w:tc>
      </w:tr>
      <w:tr>
        <w:tc>
          <w:tcPr/>
          <w:p>
            <w:pPr>
              <w:pStyle w:val="Compact"/>
              <w:jc w:val="left"/>
            </w:pPr>
            <w:r>
              <w:rPr>
                <w:bCs/>
                <w:b/>
                <w:lang w:val="en"/>
              </w:rPr>
              <w:t xml:space="preserve">Service vessels</w:t>
            </w:r>
          </w:p>
        </w:tc>
        <w:tc>
          <w:tcPr/>
          <w:p>
            <w:pPr>
              <w:pStyle w:val="Compact"/>
              <w:jc w:val="left"/>
            </w:pPr>
            <w:r>
              <w:rPr>
                <w:lang w:val="en"/>
              </w:rPr>
              <w:t xml:space="preserve">Tugs, dredgers, offshore support vessels (cross-reference</w:t>
            </w:r>
            <w:r>
              <w:rPr>
                <w:lang w:val="en"/>
              </w:rPr>
              <w:t xml:space="preserve"> </w:t>
            </w:r>
            <w:hyperlink r:id="rId48">
              <w:r>
                <w:rPr>
                  <w:rStyle w:val="Hyperlink"/>
                  <w:bCs/>
                  <w:b/>
                  <w:lang w:val="en"/>
                </w:rPr>
                <w:t xml:space="preserve">TG-6.9 Offshore Energy</w:t>
              </w:r>
            </w:hyperlink>
            <w:r>
              <w:rPr>
                <w:lang w:val="en"/>
              </w:rPr>
              <w:t xml:space="preserve"> </w:t>
            </w:r>
            <w:r>
              <w:rPr>
                <w:lang w:val="en"/>
              </w:rPr>
              <w:t xml:space="preserve">for vessels supporting offshore installations).</w:t>
            </w:r>
          </w:p>
        </w:tc>
      </w:tr>
    </w:tbl>
    <w:p>
      <w:pPr>
        <w:pStyle w:val="BodyText"/>
      </w:pPr>
      <w:r>
        <w:rPr>
          <w:lang w:val="en"/>
        </w:rPr>
        <w:t xml:space="preserve">¶2</w:t>
      </w:r>
      <w:r>
        <w:rPr>
          <w:lang w:val="en"/>
        </w:rPr>
        <w:t xml:space="preserve"> </w:t>
      </w:r>
      <w:r>
        <w:rPr>
          <w:lang w:val="en"/>
        </w:rPr>
        <w:t xml:space="preserve">This disaggregation is important for emissions accounting because emission factors vary by vessel type, size, and engine configuration. The vessel classification should be used consistently across physical activity accounts, economic accounts, and emissions accounts. The Fourth IMO GHG Study (2020) provides emission factor data by vessel type and operating mode that can serve as a starting point where country-specific factors are not available.</w:t>
      </w:r>
      <w:hyperlink w:anchor="user-content-fn-12">
        <w:r>
          <w:rPr>
            <w:rStyle w:val="Hyperlink"/>
            <w:vertAlign w:val="superscript"/>
            <w:lang w:val="en"/>
          </w:rPr>
          <w:t xml:space="preserve">13</w:t>
        </w:r>
      </w:hyperlink>
    </w:p>
    <w:bookmarkStart w:id="65" w:name="X5d726fd2701d757d04781ff1ad0443381e05e25"/>
    <w:p>
      <w:pPr>
        <w:pStyle w:val="Heading4"/>
      </w:pPr>
      <w:r>
        <w:rPr>
          <w:lang w:val="en"/>
        </w:rPr>
        <w:t xml:space="preserve">3.1.3</w:t>
      </w:r>
      <w:r>
        <w:rPr>
          <w:lang w:val="en"/>
        </w:rPr>
        <w:t xml:space="preserve"> </w:t>
      </w:r>
      <w:r>
        <w:rPr>
          <w:lang w:val="en"/>
        </w:rPr>
        <w:t xml:space="preserve">Trade Flow Measurement</w:t>
      </w:r>
    </w:p>
    <w:p>
      <w:pPr>
        <w:pStyle w:val="FirstParagraph"/>
      </w:pPr>
      <w:hyperlink w:anchor="X5d726fd2701d757d04781ff1ad0443381e05e25">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Trade Flow Measurement”</w:t>
        </w:r>
      </w:hyperlink>
    </w:p>
    <w:bookmarkEnd w:id="65"/>
    <w:p>
      <w:pPr>
        <w:pStyle w:val="BodyText"/>
      </w:pPr>
      <w:r>
        <w:rPr>
          <w:lang w:val="en"/>
        </w:rPr>
        <w:t xml:space="preserve">¶1</w:t>
      </w:r>
      <w:r>
        <w:rPr>
          <w:lang w:val="en"/>
        </w:rPr>
        <w:t xml:space="preserve"> </w:t>
      </w:r>
      <w:r>
        <w:rPr>
          <w:lang w:val="en"/>
        </w:rPr>
        <w:t xml:space="preserve">Maritime trade flows are measured through:</w:t>
      </w:r>
    </w:p>
    <w:p>
      <w:pPr>
        <w:numPr>
          <w:ilvl w:val="0"/>
          <w:numId w:val="1006"/>
        </w:numPr>
        <w:pStyle w:val="Compact"/>
      </w:pPr>
      <w:r>
        <w:rPr>
          <w:lang w:val="en"/>
        </w:rPr>
        <w:t xml:space="preserve">¶2</w:t>
      </w:r>
      <w:r>
        <w:rPr>
          <w:lang w:val="en"/>
        </w:rPr>
        <w:t xml:space="preserve"> </w:t>
      </w:r>
      <w:r>
        <w:rPr>
          <w:bCs/>
          <w:b/>
          <w:lang w:val="en"/>
        </w:rPr>
        <w:t xml:space="preserve">Volume (physical):</w:t>
      </w:r>
      <w:r>
        <w:rPr>
          <w:lang w:val="en"/>
        </w:rPr>
        <w:t xml:space="preserve"> </w:t>
      </w:r>
      <w:r>
        <w:rPr>
          <w:lang w:val="en"/>
        </w:rPr>
        <w:t xml:space="preserve">Tonnes loaded and unloaded at ports</w:t>
      </w:r>
    </w:p>
    <w:p>
      <w:pPr>
        <w:numPr>
          <w:ilvl w:val="0"/>
          <w:numId w:val="1006"/>
        </w:numPr>
        <w:pStyle w:val="Compact"/>
      </w:pPr>
      <w:r>
        <w:rPr>
          <w:lang w:val="en"/>
        </w:rPr>
        <w:t xml:space="preserve">¶3</w:t>
      </w:r>
      <w:r>
        <w:rPr>
          <w:lang w:val="en"/>
        </w:rPr>
        <w:t xml:space="preserve"> </w:t>
      </w:r>
      <w:r>
        <w:rPr>
          <w:bCs/>
          <w:b/>
          <w:lang w:val="en"/>
        </w:rPr>
        <w:t xml:space="preserve">Value (monetary):</w:t>
      </w:r>
      <w:r>
        <w:rPr>
          <w:lang w:val="en"/>
        </w:rPr>
        <w:t xml:space="preserve"> </w:t>
      </w:r>
      <w:r>
        <w:rPr>
          <w:lang w:val="en"/>
        </w:rPr>
        <w:t xml:space="preserve">Value of goods transported (CIF/FOB basis)</w:t>
      </w:r>
      <w:hyperlink w:anchor="user-content-fn-13">
        <w:r>
          <w:rPr>
            <w:rStyle w:val="Hyperlink"/>
            <w:vertAlign w:val="superscript"/>
            <w:lang w:val="en"/>
          </w:rPr>
          <w:t xml:space="preserve">14</w:t>
        </w:r>
      </w:hyperlink>
    </w:p>
    <w:p>
      <w:pPr>
        <w:numPr>
          <w:ilvl w:val="0"/>
          <w:numId w:val="1006"/>
        </w:numPr>
        <w:pStyle w:val="Compact"/>
      </w:pPr>
      <w:r>
        <w:rPr>
          <w:lang w:val="en"/>
        </w:rPr>
        <w:t xml:space="preserve">¶4</w:t>
      </w:r>
      <w:r>
        <w:rPr>
          <w:lang w:val="en"/>
        </w:rPr>
        <w:t xml:space="preserve"> </w:t>
      </w:r>
      <w:r>
        <w:rPr>
          <w:bCs/>
          <w:b/>
          <w:lang w:val="en"/>
        </w:rPr>
        <w:t xml:space="preserve">Activity (operational):</w:t>
      </w:r>
      <w:r>
        <w:rPr>
          <w:lang w:val="en"/>
        </w:rPr>
        <w:t xml:space="preserve"> </w:t>
      </w:r>
      <w:r>
        <w:rPr>
          <w:lang w:val="en"/>
        </w:rPr>
        <w:t xml:space="preserve">Vessel movements, port calls, cargo handling operations</w:t>
      </w:r>
    </w:p>
    <w:p>
      <w:pPr>
        <w:pStyle w:val="FirstParagraph"/>
      </w:pPr>
      <w:r>
        <w:rPr>
          <w:lang w:val="en"/>
        </w:rPr>
        <w:t xml:space="preserve">¶5</w:t>
      </w:r>
      <w:r>
        <w:rPr>
          <w:lang w:val="en"/>
        </w:rPr>
        <w:t xml:space="preserve"> </w:t>
      </w:r>
      <w:r>
        <w:rPr>
          <w:lang w:val="en"/>
        </w:rPr>
        <w:t xml:space="preserve">Data sources include port authority records, customs declarations, automatic identification system (AIS) tracking, and shipping company reports. Satellite AIS covers most commercial vessels over 300 gross tonnes in major shipping lanes, though coverage in remote ocean areas, smaller vessel classes, and terrestrial AIS-predominant regions remains incomplete.</w:t>
      </w:r>
      <w:hyperlink w:anchor="user-content-fn-14">
        <w:r>
          <w:rPr>
            <w:rStyle w:val="Hyperlink"/>
            <w:vertAlign w:val="superscript"/>
            <w:lang w:val="en"/>
          </w:rPr>
          <w:t xml:space="preserve">15</w:t>
        </w:r>
      </w:hyperlink>
      <w:r>
        <w:rPr>
          <w:lang w:val="en"/>
        </w:rPr>
        <w:t xml:space="preserve"> </w:t>
      </w:r>
      <w:r>
        <w:rPr>
          <w:lang w:val="en"/>
        </w:rPr>
        <w:t xml:space="preserve">Compilers should cross-check AIS-derived activity data against vessel registry sources such as UNCTAD’s</w:t>
      </w:r>
      <w:r>
        <w:rPr>
          <w:lang w:val="en"/>
        </w:rPr>
        <w:t xml:space="preserve"> </w:t>
      </w:r>
      <w:r>
        <w:rPr>
          <w:iCs/>
          <w:i/>
          <w:lang w:val="en"/>
        </w:rPr>
        <w:t xml:space="preserve">Review of Maritime Transport</w:t>
      </w:r>
      <w:r>
        <w:rPr>
          <w:lang w:val="en"/>
        </w:rPr>
        <w:t xml:space="preserve"> </w:t>
      </w:r>
      <w:r>
        <w:rPr>
          <w:lang w:val="en"/>
        </w:rPr>
        <w:t xml:space="preserve">and document coverage limitations in metadata.</w:t>
      </w:r>
    </w:p>
    <w:p>
      <w:r>
        <w:pict>
          <v:rect style="width:0;height:1.5pt" o:hralign="center" o:hrstd="t" o:hr="t"/>
        </w:pict>
      </w:r>
    </w:p>
    <w:bookmarkStart w:id="68" w:name="Xe63a381bb80e0c7f9a235d667f25b002967f809"/>
    <w:p>
      <w:pPr>
        <w:pStyle w:val="Heading3"/>
      </w:pPr>
      <w:r>
        <w:rPr>
          <w:lang w:val="en"/>
        </w:rPr>
        <w:t xml:space="preserve">3.2</w:t>
      </w:r>
      <w:r>
        <w:rPr>
          <w:lang w:val="en"/>
        </w:rPr>
        <w:t xml:space="preserve"> </w:t>
      </w:r>
      <w:r>
        <w:rPr>
          <w:lang w:val="en"/>
        </w:rPr>
        <w:t xml:space="preserve">Port Infrastructure</w:t>
      </w:r>
    </w:p>
    <w:p>
      <w:pPr>
        <w:pStyle w:val="FirstParagraph"/>
      </w:pPr>
      <w:hyperlink w:anchor="Xe63a381bb80e0c7f9a235d667f25b002967f809">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Port Infrastructure”</w:t>
        </w:r>
      </w:hyperlink>
    </w:p>
    <w:bookmarkEnd w:id="68"/>
    <w:bookmarkStart w:id="71" w:name="X555fff40f57bcb1d24ce1f740b8a2ad883a9148"/>
    <w:p>
      <w:pPr>
        <w:pStyle w:val="Heading4"/>
      </w:pPr>
      <w:r>
        <w:rPr>
          <w:lang w:val="en"/>
        </w:rPr>
        <w:t xml:space="preserve">3.2.1</w:t>
      </w:r>
      <w:r>
        <w:rPr>
          <w:lang w:val="en"/>
        </w:rPr>
        <w:t xml:space="preserve"> </w:t>
      </w:r>
      <w:r>
        <w:rPr>
          <w:lang w:val="en"/>
        </w:rPr>
        <w:t xml:space="preserve">Port Areas and Land Use</w:t>
      </w:r>
    </w:p>
    <w:p>
      <w:pPr>
        <w:pStyle w:val="FirstParagraph"/>
      </w:pPr>
      <w:hyperlink w:anchor="X555fff40f57bcb1d24ce1f740b8a2ad883a9148">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Port Areas and Land Use”</w:t>
        </w:r>
      </w:hyperlink>
    </w:p>
    <w:bookmarkEnd w:id="71"/>
    <w:p>
      <w:pPr>
        <w:pStyle w:val="BodyText"/>
      </w:pPr>
      <w:r>
        <w:rPr>
          <w:lang w:val="en"/>
        </w:rPr>
        <w:t xml:space="preserve">¶1</w:t>
      </w:r>
      <w:r>
        <w:rPr>
          <w:lang w:val="en"/>
        </w:rPr>
        <w:t xml:space="preserve"> </w:t>
      </w:r>
      <w:r>
        <w:rPr>
          <w:lang w:val="en"/>
        </w:rPr>
        <w:t xml:space="preserve">Port infrastructure accounting requires spatial delineation of port areas. Table 3.2.1 below summarises the main land-use components of a port</w:t>
      </w:r>
      <w:hyperlink w:anchor="user-content-fn-15">
        <w:r>
          <w:rPr>
            <w:rStyle w:val="Hyperlink"/>
            <w:vertAlign w:val="superscript"/>
            <w:lang w:val="en"/>
          </w:rPr>
          <w:t xml:space="preserve">16</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Component</w:t>
            </w:r>
          </w:p>
        </w:tc>
        <w:tc>
          <w:tcPr/>
          <w:p>
            <w:pPr>
              <w:pStyle w:val="Compact"/>
              <w:jc w:val="left"/>
            </w:pPr>
            <w:r>
              <w:rPr>
                <w:lang w:val="en"/>
              </w:rPr>
              <w:t xml:space="preserve">Description</w:t>
            </w:r>
          </w:p>
        </w:tc>
      </w:tr>
      <w:tr>
        <w:tc>
          <w:tcPr/>
          <w:p>
            <w:pPr>
              <w:pStyle w:val="Compact"/>
              <w:jc w:val="left"/>
            </w:pPr>
            <w:r>
              <w:rPr>
                <w:bCs/>
                <w:b/>
                <w:lang w:val="en"/>
              </w:rPr>
              <w:t xml:space="preserve">Quays and berths</w:t>
            </w:r>
          </w:p>
        </w:tc>
        <w:tc>
          <w:tcPr/>
          <w:p>
            <w:pPr>
              <w:pStyle w:val="Compact"/>
              <w:jc w:val="left"/>
            </w:pPr>
            <w:r>
              <w:rPr>
                <w:lang w:val="en"/>
              </w:rPr>
              <w:t xml:space="preserve">Vessel mooring facilities.</w:t>
            </w:r>
          </w:p>
        </w:tc>
      </w:tr>
      <w:tr>
        <w:tc>
          <w:tcPr/>
          <w:p>
            <w:pPr>
              <w:pStyle w:val="Compact"/>
              <w:jc w:val="left"/>
            </w:pPr>
            <w:r>
              <w:rPr>
                <w:bCs/>
                <w:b/>
                <w:lang w:val="en"/>
              </w:rPr>
              <w:t xml:space="preserve">Storage areas</w:t>
            </w:r>
          </w:p>
        </w:tc>
        <w:tc>
          <w:tcPr/>
          <w:p>
            <w:pPr>
              <w:pStyle w:val="Compact"/>
              <w:jc w:val="left"/>
            </w:pPr>
            <w:r>
              <w:rPr>
                <w:lang w:val="en"/>
              </w:rPr>
              <w:t xml:space="preserve">Container yards, warehouses, tank farms.</w:t>
            </w:r>
          </w:p>
        </w:tc>
      </w:tr>
      <w:tr>
        <w:tc>
          <w:tcPr/>
          <w:p>
            <w:pPr>
              <w:pStyle w:val="Compact"/>
              <w:jc w:val="left"/>
            </w:pPr>
            <w:r>
              <w:rPr>
                <w:bCs/>
                <w:b/>
                <w:lang w:val="en"/>
              </w:rPr>
              <w:t xml:space="preserve">Intermodal connections</w:t>
            </w:r>
          </w:p>
        </w:tc>
        <w:tc>
          <w:tcPr/>
          <w:p>
            <w:pPr>
              <w:pStyle w:val="Compact"/>
              <w:jc w:val="left"/>
            </w:pPr>
            <w:r>
              <w:rPr>
                <w:lang w:val="en"/>
              </w:rPr>
              <w:t xml:space="preserve">Rail terminals, road connections.</w:t>
            </w:r>
          </w:p>
        </w:tc>
      </w:tr>
      <w:tr>
        <w:tc>
          <w:tcPr/>
          <w:p>
            <w:pPr>
              <w:pStyle w:val="Compact"/>
              <w:jc w:val="left"/>
            </w:pPr>
            <w:r>
              <w:rPr>
                <w:bCs/>
                <w:b/>
                <w:lang w:val="en"/>
              </w:rPr>
              <w:t xml:space="preserve">Administrative areas</w:t>
            </w:r>
          </w:p>
        </w:tc>
        <w:tc>
          <w:tcPr/>
          <w:p>
            <w:pPr>
              <w:pStyle w:val="Compact"/>
              <w:jc w:val="left"/>
            </w:pPr>
            <w:r>
              <w:rPr>
                <w:lang w:val="en"/>
              </w:rPr>
              <w:t xml:space="preserve">Offices, customs facilities.</w:t>
            </w:r>
          </w:p>
        </w:tc>
      </w:tr>
      <w:tr>
        <w:tc>
          <w:tcPr/>
          <w:p>
            <w:pPr>
              <w:pStyle w:val="Compact"/>
              <w:jc w:val="left"/>
            </w:pPr>
            <w:r>
              <w:rPr>
                <w:bCs/>
                <w:b/>
                <w:lang w:val="en"/>
              </w:rPr>
              <w:t xml:space="preserve">Ancillary facilities</w:t>
            </w:r>
          </w:p>
        </w:tc>
        <w:tc>
          <w:tcPr/>
          <w:p>
            <w:pPr>
              <w:pStyle w:val="Compact"/>
              <w:jc w:val="left"/>
            </w:pPr>
            <w:r>
              <w:rPr>
                <w:lang w:val="en"/>
              </w:rPr>
              <w:t xml:space="preserve">Ship repair, bunkering stations.</w:t>
            </w:r>
          </w:p>
        </w:tc>
      </w:tr>
    </w:tbl>
    <w:p>
      <w:pPr>
        <w:pStyle w:val="BodyText"/>
      </w:pPr>
      <w:r>
        <w:rPr>
          <w:lang w:val="en"/>
        </w:rPr>
        <w:t xml:space="preserve">¶2</w:t>
      </w:r>
      <w:r>
        <w:rPr>
          <w:lang w:val="en"/>
        </w:rPr>
        <w:t xml:space="preserve"> </w:t>
      </w:r>
      <w:r>
        <w:rPr>
          <w:lang w:val="en"/>
        </w:rPr>
        <w:t xml:space="preserve">Port areas should be mapped using consistent spatial references (see</w:t>
      </w:r>
      <w:r>
        <w:rPr>
          <w:lang w:val="en"/>
        </w:rPr>
        <w:t xml:space="preserve"> </w:t>
      </w:r>
      <w:hyperlink r:id="rId47">
        <w:r>
          <w:rPr>
            <w:rStyle w:val="Hyperlink"/>
            <w:bCs/>
            <w:b/>
            <w:lang w:val="en"/>
          </w:rPr>
          <w:t xml:space="preserve">TG-4.1 Remote Sensing</w:t>
        </w:r>
      </w:hyperlink>
      <w:r>
        <w:rPr>
          <w:lang w:val="en"/>
        </w:rPr>
        <w:t xml:space="preserve">) and linked to the SEEA land cover and land use classifications.</w:t>
      </w:r>
      <w:hyperlink w:anchor="user-content-fn-16">
        <w:r>
          <w:rPr>
            <w:rStyle w:val="Hyperlink"/>
            <w:vertAlign w:val="superscript"/>
            <w:lang w:val="en"/>
          </w:rPr>
          <w:t xml:space="preserve">17</w:t>
        </w:r>
      </w:hyperlink>
      <w:r>
        <w:rPr>
          <w:lang w:val="en"/>
        </w:rPr>
        <w:t xml:space="preserve"> </w:t>
      </w:r>
      <w:r>
        <w:rPr>
          <w:lang w:val="en"/>
        </w:rPr>
        <w:t xml:space="preserve">The port boundary should encompass the full operational area including anchorages, fairways, and approach channels.</w:t>
      </w:r>
    </w:p>
    <w:bookmarkStart w:id="74" w:name="Xeb5666a27eb2030037086cec4adfd81337745fa"/>
    <w:p>
      <w:pPr>
        <w:pStyle w:val="Heading4"/>
      </w:pPr>
      <w:r>
        <w:rPr>
          <w:lang w:val="en"/>
        </w:rPr>
        <w:t xml:space="preserve">3.2.2</w:t>
      </w:r>
      <w:r>
        <w:rPr>
          <w:lang w:val="en"/>
        </w:rPr>
        <w:t xml:space="preserve"> </w:t>
      </w:r>
      <w:r>
        <w:rPr>
          <w:lang w:val="en"/>
        </w:rPr>
        <w:t xml:space="preserve">Dredging and Land Reclamation</w:t>
      </w:r>
    </w:p>
    <w:p>
      <w:pPr>
        <w:pStyle w:val="FirstParagraph"/>
      </w:pPr>
      <w:hyperlink w:anchor="Xeb5666a27eb2030037086cec4adfd81337745fa">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Dredging and Land Reclamation”</w:t>
        </w:r>
      </w:hyperlink>
    </w:p>
    <w:bookmarkEnd w:id="74"/>
    <w:p>
      <w:pPr>
        <w:pStyle w:val="BodyText"/>
      </w:pPr>
      <w:r>
        <w:rPr>
          <w:lang w:val="en"/>
        </w:rPr>
        <w:t xml:space="preserve">¶1</w:t>
      </w:r>
      <w:r>
        <w:rPr>
          <w:lang w:val="en"/>
        </w:rPr>
        <w:t xml:space="preserve"> </w:t>
      </w:r>
      <w:r>
        <w:rPr>
          <w:lang w:val="en"/>
        </w:rPr>
        <w:t xml:space="preserve">Dredging activities modify the seabed to maintain or create navigational channels and berthing areas. The distinction between capital and maintenance dredging determines SNA treatment:</w:t>
      </w:r>
      <w:hyperlink w:anchor="user-content-fn-17">
        <w:r>
          <w:rPr>
            <w:rStyle w:val="Hyperlink"/>
            <w:vertAlign w:val="superscript"/>
            <w:lang w:val="en"/>
          </w:rPr>
          <w:t xml:space="preserve">18</w:t>
        </w:r>
      </w:hyperlink>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Type</w:t>
            </w:r>
          </w:p>
        </w:tc>
        <w:tc>
          <w:tcPr/>
          <w:p>
            <w:pPr>
              <w:pStyle w:val="Compact"/>
              <w:jc w:val="left"/>
            </w:pPr>
            <w:r>
              <w:rPr>
                <w:lang w:val="en"/>
              </w:rPr>
              <w:t xml:space="preserve">Definition</w:t>
            </w:r>
          </w:p>
        </w:tc>
        <w:tc>
          <w:tcPr/>
          <w:p>
            <w:pPr>
              <w:pStyle w:val="Compact"/>
              <w:jc w:val="left"/>
            </w:pPr>
            <w:r>
              <w:rPr>
                <w:lang w:val="en"/>
              </w:rPr>
              <w:t xml:space="preserve">SNA treatment</w:t>
            </w:r>
          </w:p>
        </w:tc>
      </w:tr>
      <w:tr>
        <w:tc>
          <w:tcPr/>
          <w:p>
            <w:pPr>
              <w:pStyle w:val="Compact"/>
              <w:jc w:val="left"/>
            </w:pPr>
            <w:r>
              <w:rPr>
                <w:lang w:val="en"/>
              </w:rPr>
              <w:t xml:space="preserve">Capital dredging</w:t>
            </w:r>
          </w:p>
        </w:tc>
        <w:tc>
          <w:tcPr/>
          <w:p>
            <w:pPr>
              <w:pStyle w:val="Compact"/>
              <w:jc w:val="left"/>
            </w:pPr>
            <w:r>
              <w:rPr>
                <w:lang w:val="en"/>
              </w:rPr>
              <w:t xml:space="preserve">Creates new channel/berth capacity or enlarges existing capacity beyond previous design depth or width</w:t>
            </w:r>
          </w:p>
        </w:tc>
        <w:tc>
          <w:tcPr/>
          <w:p>
            <w:pPr>
              <w:pStyle w:val="Compact"/>
              <w:jc w:val="left"/>
            </w:pPr>
            <w:r>
              <w:rPr>
                <w:lang w:val="en"/>
              </w:rPr>
              <w:t xml:space="preserve">Gross fixed capital formation (GFCF)</w:t>
            </w:r>
          </w:p>
        </w:tc>
      </w:tr>
      <w:tr>
        <w:tc>
          <w:tcPr/>
          <w:p>
            <w:pPr>
              <w:pStyle w:val="Compact"/>
              <w:jc w:val="left"/>
            </w:pPr>
            <w:r>
              <w:rPr>
                <w:lang w:val="en"/>
              </w:rPr>
              <w:t xml:space="preserve">Maintenance dredging</w:t>
            </w:r>
          </w:p>
        </w:tc>
        <w:tc>
          <w:tcPr/>
          <w:p>
            <w:pPr>
              <w:pStyle w:val="Compact"/>
              <w:jc w:val="left"/>
            </w:pPr>
            <w:r>
              <w:rPr>
                <w:lang w:val="en"/>
              </w:rPr>
              <w:t xml:space="preserve">Restores a channel or berth to its original design depth and width following sedimentation</w:t>
            </w:r>
          </w:p>
        </w:tc>
        <w:tc>
          <w:tcPr/>
          <w:p>
            <w:pPr>
              <w:pStyle w:val="Compact"/>
              <w:jc w:val="left"/>
            </w:pPr>
            <w:r>
              <w:rPr>
                <w:lang w:val="en"/>
              </w:rPr>
              <w:t xml:space="preserve">Intermediate consumption</w:t>
            </w:r>
          </w:p>
        </w:tc>
      </w:tr>
    </w:tbl>
    <w:p>
      <w:pPr>
        <w:pStyle w:val="BodyText"/>
      </w:pPr>
      <w:r>
        <w:rPr>
          <w:lang w:val="en"/>
        </w:rPr>
        <w:t xml:space="preserve">¶2</w:t>
      </w:r>
      <w:r>
        <w:rPr>
          <w:lang w:val="en"/>
        </w:rPr>
        <w:t xml:space="preserve"> </w:t>
      </w:r>
      <w:r>
        <w:rPr>
          <w:lang w:val="en"/>
        </w:rPr>
        <w:t xml:space="preserve">Compilers should apply this rule to dredging expenditure records from port authorities and contractor invoices. Where invoices do not clearly distinguish the two, compilers should document the criterion used. For the fuller treatment of capital versus maintenance distinctions for coastal works, cross-reference</w:t>
      </w:r>
      <w:r>
        <w:rPr>
          <w:lang w:val="en"/>
        </w:rPr>
        <w:t xml:space="preserve"> </w:t>
      </w:r>
      <w:hyperlink r:id="rId36">
        <w:r>
          <w:rPr>
            <w:rStyle w:val="Hyperlink"/>
            <w:bCs/>
            <w:b/>
            <w:lang w:val="en"/>
          </w:rPr>
          <w:t xml:space="preserve">TG-6.11 Coastal Infrastructure Accounting</w:t>
        </w:r>
      </w:hyperlink>
      <w:r>
        <w:rPr>
          <w:lang w:val="en"/>
        </w:rPr>
        <w:t xml:space="preserve"> </w:t>
      </w:r>
      <w:r>
        <w:rPr>
          <w:lang w:val="en"/>
        </w:rPr>
        <w:t xml:space="preserve">Section 3.2.4.</w:t>
      </w:r>
    </w:p>
    <w:p>
      <w:pPr>
        <w:pStyle w:val="BodyText"/>
      </w:pPr>
      <w:r>
        <w:rPr>
          <w:lang w:val="en"/>
        </w:rPr>
        <w:t xml:space="preserve">¶3</w:t>
      </w:r>
      <w:r>
        <w:rPr>
          <w:lang w:val="en"/>
        </w:rPr>
        <w:t xml:space="preserve"> </w:t>
      </w:r>
      <w:r>
        <w:rPr>
          <w:bCs/>
          <w:b/>
          <w:lang w:val="en"/>
        </w:rPr>
        <w:t xml:space="preserve">Physical measures:</w:t>
      </w:r>
    </w:p>
    <w:p>
      <w:pPr>
        <w:numPr>
          <w:ilvl w:val="0"/>
          <w:numId w:val="1007"/>
        </w:numPr>
        <w:pStyle w:val="Compact"/>
      </w:pPr>
      <w:r>
        <w:rPr>
          <w:lang w:val="en"/>
        </w:rPr>
        <w:t xml:space="preserve">¶4</w:t>
      </w:r>
      <w:r>
        <w:rPr>
          <w:lang w:val="en"/>
        </w:rPr>
        <w:t xml:space="preserve"> </w:t>
      </w:r>
      <w:r>
        <w:rPr>
          <w:lang w:val="en"/>
        </w:rPr>
        <w:t xml:space="preserve">Volume of sediment removed (cubic metres)</w:t>
      </w:r>
    </w:p>
    <w:p>
      <w:pPr>
        <w:numPr>
          <w:ilvl w:val="0"/>
          <w:numId w:val="1007"/>
        </w:numPr>
        <w:pStyle w:val="Compact"/>
      </w:pPr>
      <w:r>
        <w:rPr>
          <w:lang w:val="en"/>
        </w:rPr>
        <w:t xml:space="preserve">¶5</w:t>
      </w:r>
      <w:r>
        <w:rPr>
          <w:lang w:val="en"/>
        </w:rPr>
        <w:t xml:space="preserve"> </w:t>
      </w:r>
      <w:r>
        <w:rPr>
          <w:lang w:val="en"/>
        </w:rPr>
        <w:t xml:space="preserve">Disposal location (ocean dumping, beneficial reuse, confined disposal)</w:t>
      </w:r>
    </w:p>
    <w:p>
      <w:pPr>
        <w:numPr>
          <w:ilvl w:val="0"/>
          <w:numId w:val="1007"/>
        </w:numPr>
        <w:pStyle w:val="Compact"/>
      </w:pPr>
      <w:r>
        <w:rPr>
          <w:lang w:val="en"/>
        </w:rPr>
        <w:t xml:space="preserve">¶6</w:t>
      </w:r>
      <w:r>
        <w:rPr>
          <w:lang w:val="en"/>
        </w:rPr>
        <w:t xml:space="preserve"> </w:t>
      </w:r>
      <w:r>
        <w:rPr>
          <w:lang w:val="en"/>
        </w:rPr>
        <w:t xml:space="preserve">Channel depth and width specifications</w:t>
      </w:r>
    </w:p>
    <w:p>
      <w:pPr>
        <w:pStyle w:val="FirstParagraph"/>
      </w:pPr>
      <w:r>
        <w:rPr>
          <w:lang w:val="en"/>
        </w:rPr>
        <w:t xml:space="preserve">¶7</w:t>
      </w:r>
      <w:r>
        <w:rPr>
          <w:lang w:val="en"/>
        </w:rPr>
        <w:t xml:space="preserve"> </w:t>
      </w:r>
      <w:r>
        <w:rPr>
          <w:bCs/>
          <w:b/>
          <w:lang w:val="en"/>
        </w:rPr>
        <w:t xml:space="preserve">Dredge spoil as a material flow.</w:t>
      </w:r>
      <w:r>
        <w:rPr>
          <w:lang w:val="en"/>
        </w:rPr>
        <w:t xml:space="preserve"> </w:t>
      </w:r>
      <w:r>
        <w:rPr>
          <w:lang w:val="en"/>
        </w:rPr>
        <w:t xml:space="preserve">Dredged sediment should be recorded as a material flow in the SEEA Central Framework physical flow accounts. SEEA CF paragraph 3.267 treats dredging material flows under physical flow accounting, with contaminated spoil recorded as a residual flow within waste accounts and unpolluted spoil excluded from the waste-flow boundary.</w:t>
      </w:r>
      <w:hyperlink w:anchor="user-content-fn-17a">
        <w:r>
          <w:rPr>
            <w:rStyle w:val="Hyperlink"/>
            <w:vertAlign w:val="superscript"/>
            <w:lang w:val="en"/>
          </w:rPr>
          <w:t xml:space="preserve">19</w:t>
        </w:r>
      </w:hyperlink>
      <w:r>
        <w:rPr>
          <w:lang w:val="en"/>
        </w:rPr>
        <w:t xml:space="preserve"> </w:t>
      </w:r>
      <w:r>
        <w:rPr>
          <w:lang w:val="en"/>
        </w:rPr>
        <w:t xml:space="preserve">Compilers should record dredge spoil volumes by disposal pathway and sediment quality classification.</w:t>
      </w:r>
    </w:p>
    <w:p>
      <w:pPr>
        <w:pStyle w:val="BodyText"/>
      </w:pPr>
      <w:r>
        <w:rPr>
          <w:lang w:val="en"/>
        </w:rPr>
        <w:t xml:space="preserve">¶8</w:t>
      </w:r>
      <w:r>
        <w:rPr>
          <w:lang w:val="en"/>
        </w:rPr>
        <w:t xml:space="preserve"> </w:t>
      </w:r>
      <w:r>
        <w:rPr>
          <w:bCs/>
          <w:b/>
          <w:lang w:val="en"/>
        </w:rPr>
        <w:t xml:space="preserve">Environmental considerations:</w:t>
      </w:r>
    </w:p>
    <w:p>
      <w:pPr>
        <w:numPr>
          <w:ilvl w:val="0"/>
          <w:numId w:val="1008"/>
        </w:numPr>
        <w:pStyle w:val="Compact"/>
      </w:pPr>
      <w:r>
        <w:rPr>
          <w:lang w:val="en"/>
        </w:rPr>
        <w:t xml:space="preserve">¶9</w:t>
      </w:r>
      <w:r>
        <w:rPr>
          <w:lang w:val="en"/>
        </w:rPr>
        <w:t xml:space="preserve"> </w:t>
      </w:r>
      <w:r>
        <w:rPr>
          <w:lang w:val="en"/>
        </w:rPr>
        <w:t xml:space="preserve">Sediment quality (contaminant levels)</w:t>
      </w:r>
    </w:p>
    <w:p>
      <w:pPr>
        <w:numPr>
          <w:ilvl w:val="0"/>
          <w:numId w:val="1008"/>
        </w:numPr>
        <w:pStyle w:val="Compact"/>
      </w:pPr>
      <w:r>
        <w:rPr>
          <w:lang w:val="en"/>
        </w:rPr>
        <w:t xml:space="preserve">¶10</w:t>
      </w:r>
      <w:r>
        <w:rPr>
          <w:lang w:val="en"/>
        </w:rPr>
        <w:t xml:space="preserve"> </w:t>
      </w:r>
      <w:r>
        <w:rPr>
          <w:lang w:val="en"/>
        </w:rPr>
        <w:t xml:space="preserve">Impacts on benthic habitats</w:t>
      </w:r>
    </w:p>
    <w:p>
      <w:pPr>
        <w:numPr>
          <w:ilvl w:val="0"/>
          <w:numId w:val="1008"/>
        </w:numPr>
        <w:pStyle w:val="Compact"/>
      </w:pPr>
      <w:r>
        <w:rPr>
          <w:lang w:val="en"/>
        </w:rPr>
        <w:t xml:space="preserve">¶11</w:t>
      </w:r>
      <w:r>
        <w:rPr>
          <w:lang w:val="en"/>
        </w:rPr>
        <w:t xml:space="preserve"> </w:t>
      </w:r>
      <w:r>
        <w:rPr>
          <w:lang w:val="en"/>
        </w:rPr>
        <w:t xml:space="preserve">Turbidity and sedimentation effects</w:t>
      </w:r>
    </w:p>
    <w:p>
      <w:pPr>
        <w:pStyle w:val="FirstParagraph"/>
      </w:pPr>
      <w:r>
        <w:rPr>
          <w:lang w:val="en"/>
        </w:rPr>
        <w:t xml:space="preserve">¶12</w:t>
      </w:r>
      <w:r>
        <w:rPr>
          <w:lang w:val="en"/>
        </w:rPr>
        <w:t xml:space="preserve"> </w:t>
      </w:r>
      <w:r>
        <w:rPr>
          <w:lang w:val="en"/>
        </w:rPr>
        <w:t xml:space="preserve">Land reclamation for port expansion should be recorded as a transformation of marine extent to land (cross-reference</w:t>
      </w:r>
      <w:r>
        <w:rPr>
          <w:lang w:val="en"/>
        </w:rPr>
        <w:t xml:space="preserve"> </w:t>
      </w:r>
      <w:hyperlink r:id="rId35">
        <w:r>
          <w:rPr>
            <w:rStyle w:val="Hyperlink"/>
            <w:bCs/>
            <w:b/>
            <w:lang w:val="en"/>
          </w:rPr>
          <w:t xml:space="preserve">TG-3.1 Assets</w:t>
        </w:r>
      </w:hyperlink>
      <w:r>
        <w:rPr>
          <w:lang w:val="en"/>
        </w:rPr>
        <w:t xml:space="preserve">).</w:t>
      </w:r>
      <w:hyperlink w:anchor="user-content-fn-18">
        <w:r>
          <w:rPr>
            <w:rStyle w:val="Hyperlink"/>
            <w:vertAlign w:val="superscript"/>
            <w:lang w:val="en"/>
          </w:rPr>
          <w:t xml:space="preserve">20</w:t>
        </w:r>
      </w:hyperlink>
      <w:r>
        <w:rPr>
          <w:lang w:val="en"/>
        </w:rPr>
        <w:t xml:space="preserve"> </w:t>
      </w:r>
      <w:r>
        <w:rPr>
          <w:lang w:val="en"/>
        </w:rPr>
        <w:t xml:space="preserve">Port expansion through reclamation may also trigger requirements under coastal infrastructure accounting (see</w:t>
      </w:r>
      <w:r>
        <w:rPr>
          <w:lang w:val="en"/>
        </w:rPr>
        <w:t xml:space="preserve"> </w:t>
      </w:r>
      <w:hyperlink r:id="rId36">
        <w:r>
          <w:rPr>
            <w:rStyle w:val="Hyperlink"/>
            <w:bCs/>
            <w:b/>
            <w:lang w:val="en"/>
          </w:rPr>
          <w:t xml:space="preserve">TG-6.11 Coastal Infrastructure Accounting</w:t>
        </w:r>
      </w:hyperlink>
      <w:r>
        <w:rPr>
          <w:lang w:val="en"/>
        </w:rPr>
        <w:t xml:space="preserve">).</w:t>
      </w:r>
    </w:p>
    <w:bookmarkStart w:id="77" w:name="Xde4b9d244447ba06098786eeed26002db1e9dca"/>
    <w:p>
      <w:pPr>
        <w:pStyle w:val="Heading4"/>
      </w:pPr>
      <w:r>
        <w:rPr>
          <w:lang w:val="en"/>
        </w:rPr>
        <w:t xml:space="preserve">3.2.3</w:t>
      </w:r>
      <w:r>
        <w:rPr>
          <w:lang w:val="en"/>
        </w:rPr>
        <w:t xml:space="preserve"> </w:t>
      </w:r>
      <w:r>
        <w:rPr>
          <w:lang w:val="en"/>
        </w:rPr>
        <w:t xml:space="preserve">Port Capital Formation</w:t>
      </w:r>
    </w:p>
    <w:p>
      <w:pPr>
        <w:pStyle w:val="FirstParagraph"/>
      </w:pPr>
      <w:hyperlink w:anchor="Xde4b9d244447ba06098786eeed26002db1e9dca">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Port Capital Formation”</w:t>
        </w:r>
      </w:hyperlink>
    </w:p>
    <w:bookmarkEnd w:id="77"/>
    <w:p>
      <w:pPr>
        <w:pStyle w:val="BodyText"/>
      </w:pPr>
      <w:r>
        <w:rPr>
          <w:lang w:val="en"/>
        </w:rPr>
        <w:t xml:space="preserve">¶1</w:t>
      </w:r>
      <w:r>
        <w:rPr>
          <w:lang w:val="en"/>
        </w:rPr>
        <w:t xml:space="preserve"> </w:t>
      </w:r>
      <w:r>
        <w:rPr>
          <w:lang w:val="en"/>
        </w:rPr>
        <w:t xml:space="preserve">Gross fixed capital formation in ports includes investment in:</w:t>
      </w:r>
      <w:hyperlink w:anchor="user-content-fn-19">
        <w:r>
          <w:rPr>
            <w:rStyle w:val="Hyperlink"/>
            <w:vertAlign w:val="superscript"/>
            <w:lang w:val="en"/>
          </w:rPr>
          <w:t xml:space="preserve">21</w:t>
        </w:r>
      </w:hyperlink>
    </w:p>
    <w:p>
      <w:pPr>
        <w:numPr>
          <w:ilvl w:val="0"/>
          <w:numId w:val="1009"/>
        </w:numPr>
        <w:pStyle w:val="Compact"/>
      </w:pPr>
      <w:r>
        <w:rPr>
          <w:lang w:val="en"/>
        </w:rPr>
        <w:t xml:space="preserve">¶2</w:t>
      </w:r>
      <w:r>
        <w:rPr>
          <w:lang w:val="en"/>
        </w:rPr>
        <w:t xml:space="preserve"> </w:t>
      </w:r>
      <w:r>
        <w:rPr>
          <w:lang w:val="en"/>
        </w:rPr>
        <w:t xml:space="preserve">Breakwaters and seawalls</w:t>
      </w:r>
    </w:p>
    <w:p>
      <w:pPr>
        <w:numPr>
          <w:ilvl w:val="0"/>
          <w:numId w:val="1009"/>
        </w:numPr>
        <w:pStyle w:val="Compact"/>
      </w:pPr>
      <w:r>
        <w:rPr>
          <w:lang w:val="en"/>
        </w:rPr>
        <w:t xml:space="preserve">¶3</w:t>
      </w:r>
      <w:r>
        <w:rPr>
          <w:lang w:val="en"/>
        </w:rPr>
        <w:t xml:space="preserve"> </w:t>
      </w:r>
      <w:r>
        <w:rPr>
          <w:lang w:val="en"/>
        </w:rPr>
        <w:t xml:space="preserve">Quay structures and berths</w:t>
      </w:r>
    </w:p>
    <w:p>
      <w:pPr>
        <w:numPr>
          <w:ilvl w:val="0"/>
          <w:numId w:val="1009"/>
        </w:numPr>
        <w:pStyle w:val="Compact"/>
      </w:pPr>
      <w:r>
        <w:rPr>
          <w:lang w:val="en"/>
        </w:rPr>
        <w:t xml:space="preserve">¶4</w:t>
      </w:r>
      <w:r>
        <w:rPr>
          <w:lang w:val="en"/>
        </w:rPr>
        <w:t xml:space="preserve"> </w:t>
      </w:r>
      <w:r>
        <w:rPr>
          <w:lang w:val="en"/>
        </w:rPr>
        <w:t xml:space="preserve">Container handling equipment (cranes, straddle carriers)</w:t>
      </w:r>
    </w:p>
    <w:p>
      <w:pPr>
        <w:numPr>
          <w:ilvl w:val="0"/>
          <w:numId w:val="1009"/>
        </w:numPr>
        <w:pStyle w:val="Compact"/>
      </w:pPr>
      <w:r>
        <w:rPr>
          <w:lang w:val="en"/>
        </w:rPr>
        <w:t xml:space="preserve">¶5</w:t>
      </w:r>
      <w:r>
        <w:rPr>
          <w:lang w:val="en"/>
        </w:rPr>
        <w:t xml:space="preserve"> </w:t>
      </w:r>
      <w:r>
        <w:rPr>
          <w:lang w:val="en"/>
        </w:rPr>
        <w:t xml:space="preserve">Warehouses and storage facilities</w:t>
      </w:r>
    </w:p>
    <w:p>
      <w:pPr>
        <w:numPr>
          <w:ilvl w:val="0"/>
          <w:numId w:val="1009"/>
        </w:numPr>
        <w:pStyle w:val="Compact"/>
      </w:pPr>
      <w:r>
        <w:rPr>
          <w:lang w:val="en"/>
        </w:rPr>
        <w:t xml:space="preserve">¶6</w:t>
      </w:r>
      <w:r>
        <w:rPr>
          <w:lang w:val="en"/>
        </w:rPr>
        <w:t xml:space="preserve"> </w:t>
      </w:r>
      <w:r>
        <w:rPr>
          <w:lang w:val="en"/>
        </w:rPr>
        <w:t xml:space="preserve">Navigational aids and vessel traffic systems</w:t>
      </w:r>
    </w:p>
    <w:p>
      <w:pPr>
        <w:numPr>
          <w:ilvl w:val="0"/>
          <w:numId w:val="1009"/>
        </w:numPr>
        <w:pStyle w:val="Compact"/>
      </w:pPr>
      <w:r>
        <w:rPr>
          <w:lang w:val="en"/>
        </w:rPr>
        <w:t xml:space="preserve">¶7</w:t>
      </w:r>
      <w:r>
        <w:rPr>
          <w:lang w:val="en"/>
        </w:rPr>
        <w:t xml:space="preserve"> </w:t>
      </w:r>
      <w:r>
        <w:rPr>
          <w:lang w:val="en"/>
        </w:rPr>
        <w:t xml:space="preserve">Environmental protection infrastructure (oil spill response, waste reception)</w:t>
      </w:r>
    </w:p>
    <w:p>
      <w:pPr>
        <w:pStyle w:val="FirstParagraph"/>
      </w:pPr>
      <w:r>
        <w:rPr>
          <w:lang w:val="en"/>
        </w:rPr>
        <w:t xml:space="preserve">¶8</w:t>
      </w:r>
      <w:r>
        <w:rPr>
          <w:lang w:val="en"/>
        </w:rPr>
        <w:t xml:space="preserve"> </w:t>
      </w:r>
      <w:r>
        <w:rPr>
          <w:lang w:val="en"/>
        </w:rPr>
        <w:t xml:space="preserve">Capital formation should be recorded following SNA 2025 principles, distinguishing new construction and major improvements (gross fixed capital formation) from routine maintenance (intermediate consumption). Depreciation schedules vary by asset type: quay structures may have useful lives of 50 years or more, whilst handling equipment typically depreciates over 15—25 years. The perpetual inventory method (PIM) is the standard approach for compiling port capital stock.</w:t>
      </w:r>
      <w:hyperlink w:anchor="user-content-fn-20">
        <w:r>
          <w:rPr>
            <w:rStyle w:val="Hyperlink"/>
            <w:vertAlign w:val="superscript"/>
            <w:lang w:val="en"/>
          </w:rPr>
          <w:t xml:space="preserve">22</w:t>
        </w:r>
      </w:hyperlink>
    </w:p>
    <w:bookmarkStart w:id="80" w:name="Xea41642140cbf90a0c7a505fd43d9422acbe467"/>
    <w:p>
      <w:pPr>
        <w:pStyle w:val="Heading4"/>
      </w:pPr>
      <w:r>
        <w:rPr>
          <w:lang w:val="en"/>
        </w:rPr>
        <w:t xml:space="preserve">3.2.4</w:t>
      </w:r>
      <w:r>
        <w:rPr>
          <w:lang w:val="en"/>
        </w:rPr>
        <w:t xml:space="preserve"> </w:t>
      </w:r>
      <w:r>
        <w:rPr>
          <w:lang w:val="en"/>
        </w:rPr>
        <w:t xml:space="preserve">Vessel Capital Stock</w:t>
      </w:r>
    </w:p>
    <w:p>
      <w:pPr>
        <w:pStyle w:val="FirstParagraph"/>
      </w:pPr>
      <w:hyperlink w:anchor="Xea41642140cbf90a0c7a505fd43d9422acbe467">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Vessel Capital Stock”</w:t>
        </w:r>
      </w:hyperlink>
    </w:p>
    <w:bookmarkEnd w:id="80"/>
    <w:p>
      <w:pPr>
        <w:pStyle w:val="BodyText"/>
      </w:pPr>
      <w:r>
        <w:rPr>
          <w:lang w:val="en"/>
        </w:rPr>
        <w:t xml:space="preserve">¶1</w:t>
      </w:r>
      <w:r>
        <w:rPr>
          <w:lang w:val="en"/>
        </w:rPr>
        <w:t xml:space="preserve"> </w:t>
      </w:r>
      <w:r>
        <w:rPr>
          <w:lang w:val="en"/>
        </w:rPr>
        <w:t xml:space="preserve">Vessels are produced assets that should appear in national balance sheets as transport equipment under SNA 2025 asset classification AN1131.</w:t>
      </w:r>
      <w:hyperlink w:anchor="user-content-fn-20a">
        <w:r>
          <w:rPr>
            <w:rStyle w:val="Hyperlink"/>
            <w:vertAlign w:val="superscript"/>
            <w:lang w:val="en"/>
          </w:rPr>
          <w:t xml:space="preserve">23</w:t>
        </w:r>
      </w:hyperlink>
      <w:r>
        <w:rPr>
          <w:lang w:val="en"/>
        </w:rPr>
        <w:t xml:space="preserve"> </w:t>
      </w:r>
      <w:r>
        <w:rPr>
          <w:lang w:val="en"/>
        </w:rPr>
        <w:t xml:space="preserve">Vessel capital stock is required for: (i) calculating consumption of fixed capital used to derive net value added in Table 3.7.1, and (ii) supporting complete asset accounting for the maritime transport industry.</w:t>
      </w:r>
    </w:p>
    <w:p>
      <w:pPr>
        <w:pStyle w:val="BodyText"/>
      </w:pPr>
      <w:r>
        <w:rPr>
          <w:lang w:val="en"/>
        </w:rPr>
        <w:t xml:space="preserve">¶2</w:t>
      </w:r>
      <w:r>
        <w:rPr>
          <w:lang w:val="en"/>
        </w:rPr>
        <w:t xml:space="preserve"> </w:t>
      </w:r>
      <w:r>
        <w:rPr>
          <w:bCs/>
          <w:b/>
          <w:lang w:val="en"/>
        </w:rPr>
        <w:t xml:space="preserve">Data sources for vessel capital stock:</w:t>
      </w:r>
    </w:p>
    <w:p>
      <w:pPr>
        <w:numPr>
          <w:ilvl w:val="0"/>
          <w:numId w:val="1010"/>
        </w:numPr>
        <w:pStyle w:val="Compact"/>
      </w:pPr>
      <w:r>
        <w:rPr>
          <w:lang w:val="en"/>
        </w:rPr>
        <w:t xml:space="preserve">¶3</w:t>
      </w:r>
      <w:r>
        <w:rPr>
          <w:lang w:val="en"/>
        </w:rPr>
        <w:t xml:space="preserve"> </w:t>
      </w:r>
      <w:r>
        <w:rPr>
          <w:lang w:val="en"/>
        </w:rPr>
        <w:t xml:space="preserve">National vessel registries and maritime administration records (acquisition costs, vessel age, type)</w:t>
      </w:r>
    </w:p>
    <w:p>
      <w:pPr>
        <w:numPr>
          <w:ilvl w:val="0"/>
          <w:numId w:val="1010"/>
        </w:numPr>
        <w:pStyle w:val="Compact"/>
      </w:pPr>
      <w:r>
        <w:rPr>
          <w:lang w:val="en"/>
        </w:rPr>
        <w:t xml:space="preserve">¶4</w:t>
      </w:r>
      <w:r>
        <w:rPr>
          <w:lang w:val="en"/>
        </w:rPr>
        <w:t xml:space="preserve"> </w:t>
      </w:r>
      <w:r>
        <w:rPr>
          <w:lang w:val="en"/>
        </w:rPr>
        <w:t xml:space="preserve">Lloyd’s Register / IHS Markit (now LSEG/Clarksons) maritime fleet databases (vessel characteristics, valuation benchmarks)</w:t>
      </w:r>
    </w:p>
    <w:p>
      <w:pPr>
        <w:numPr>
          <w:ilvl w:val="0"/>
          <w:numId w:val="1010"/>
        </w:numPr>
        <w:pStyle w:val="Compact"/>
      </w:pPr>
      <w:r>
        <w:rPr>
          <w:lang w:val="en"/>
        </w:rPr>
        <w:t xml:space="preserve">¶5</w:t>
      </w:r>
      <w:r>
        <w:rPr>
          <w:lang w:val="en"/>
        </w:rPr>
        <w:t xml:space="preserve"> </w:t>
      </w:r>
      <w:r>
        <w:rPr>
          <w:lang w:val="en"/>
        </w:rPr>
        <w:t xml:space="preserve">Customs records on vessel imports and exports</w:t>
      </w:r>
    </w:p>
    <w:p>
      <w:pPr>
        <w:numPr>
          <w:ilvl w:val="0"/>
          <w:numId w:val="1010"/>
        </w:numPr>
        <w:pStyle w:val="Compact"/>
      </w:pPr>
      <w:r>
        <w:rPr>
          <w:lang w:val="en"/>
        </w:rPr>
        <w:t xml:space="preserve">¶6</w:t>
      </w:r>
      <w:r>
        <w:rPr>
          <w:lang w:val="en"/>
        </w:rPr>
        <w:t xml:space="preserve"> </w:t>
      </w:r>
      <w:r>
        <w:rPr>
          <w:lang w:val="en"/>
        </w:rPr>
        <w:t xml:space="preserve">Shipping company financial statements (book values, depreciation schedules)</w:t>
      </w:r>
    </w:p>
    <w:p>
      <w:pPr>
        <w:pStyle w:val="FirstParagraph"/>
      </w:pPr>
      <w:r>
        <w:rPr>
          <w:lang w:val="en"/>
        </w:rPr>
        <w:t xml:space="preserve">¶7</w:t>
      </w:r>
      <w:r>
        <w:rPr>
          <w:lang w:val="en"/>
        </w:rPr>
        <w:t xml:space="preserve"> </w:t>
      </w:r>
      <w:r>
        <w:rPr>
          <w:bCs/>
          <w:b/>
          <w:lang w:val="en"/>
        </w:rPr>
        <w:t xml:space="preserve">PIM application.</w:t>
      </w:r>
      <w:r>
        <w:rPr>
          <w:lang w:val="en"/>
        </w:rPr>
        <w:t xml:space="preserve"> </w:t>
      </w:r>
      <w:r>
        <w:rPr>
          <w:lang w:val="en"/>
        </w:rPr>
        <w:t xml:space="preserve">Compilers should apply the perpetual inventory method to vessel acquisition costs using vessel-type-specific service lives and depreciation profiles (container vessels typically 20—30 years, bulk carriers and tankers 25—30 years, and passenger ferries 30—40 years). For the general PIM framework, see</w:t>
      </w:r>
      <w:r>
        <w:rPr>
          <w:lang w:val="en"/>
        </w:rPr>
        <w:t xml:space="preserve"> </w:t>
      </w:r>
      <w:hyperlink r:id="rId35">
        <w:r>
          <w:rPr>
            <w:rStyle w:val="Hyperlink"/>
            <w:bCs/>
            <w:b/>
            <w:lang w:val="en"/>
          </w:rPr>
          <w:t xml:space="preserve">TG-3.1 Asset Accounts</w:t>
        </w:r>
      </w:hyperlink>
      <w:r>
        <w:rPr>
          <w:lang w:val="en"/>
        </w:rPr>
        <w:t xml:space="preserve">. The depreciation entry for ISIC 501 in Table 3.7.1 represents vessel depreciation derived through this PIM approach.</w:t>
      </w:r>
    </w:p>
    <w:p>
      <w:r>
        <w:pict>
          <v:rect style="width:0;height:1.5pt" o:hralign="center" o:hrstd="t" o:hr="t"/>
        </w:pict>
      </w:r>
    </w:p>
    <w:bookmarkStart w:id="83" w:name="Xf44e5609e4b9b7565197cc11a8c2759da3304b1"/>
    <w:p>
      <w:pPr>
        <w:pStyle w:val="Heading3"/>
      </w:pPr>
      <w:r>
        <w:rPr>
          <w:lang w:val="en"/>
        </w:rPr>
        <w:t xml:space="preserve">3.3</w:t>
      </w:r>
      <w:r>
        <w:rPr>
          <w:lang w:val="en"/>
        </w:rPr>
        <w:t xml:space="preserve"> </w:t>
      </w:r>
      <w:r>
        <w:rPr>
          <w:lang w:val="en"/>
        </w:rPr>
        <w:t xml:space="preserve">Emissions Accounting</w:t>
      </w:r>
    </w:p>
    <w:p>
      <w:pPr>
        <w:pStyle w:val="FirstParagraph"/>
      </w:pPr>
      <w:hyperlink w:anchor="Xf44e5609e4b9b7565197cc11a8c2759da3304b1">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Emissions Accounting”</w:t>
        </w:r>
      </w:hyperlink>
    </w:p>
    <w:bookmarkEnd w:id="83"/>
    <w:bookmarkStart w:id="86" w:name="X100e9b09616fac907f757eb0e46ac2b370170db"/>
    <w:p>
      <w:pPr>
        <w:pStyle w:val="Heading4"/>
      </w:pPr>
      <w:r>
        <w:rPr>
          <w:lang w:val="en"/>
        </w:rPr>
        <w:t xml:space="preserve">3.3.1</w:t>
      </w:r>
      <w:r>
        <w:rPr>
          <w:lang w:val="en"/>
        </w:rPr>
        <w:t xml:space="preserve"> </w:t>
      </w:r>
      <w:r>
        <w:rPr>
          <w:lang w:val="en"/>
        </w:rPr>
        <w:t xml:space="preserve">Greenhouse Gas Emissions</w:t>
      </w:r>
    </w:p>
    <w:p>
      <w:pPr>
        <w:pStyle w:val="FirstParagraph"/>
      </w:pPr>
      <w:hyperlink w:anchor="X100e9b09616fac907f757eb0e46ac2b370170db">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Greenhouse Gas Emissions”</w:t>
        </w:r>
      </w:hyperlink>
    </w:p>
    <w:bookmarkEnd w:id="86"/>
    <w:p>
      <w:pPr>
        <w:pStyle w:val="BodyText"/>
      </w:pPr>
      <w:r>
        <w:rPr>
          <w:lang w:val="en"/>
        </w:rPr>
        <w:t xml:space="preserve">¶1</w:t>
      </w:r>
      <w:r>
        <w:rPr>
          <w:lang w:val="en"/>
        </w:rPr>
        <w:t xml:space="preserve"> </w:t>
      </w:r>
      <w:r>
        <w:rPr>
          <w:lang w:val="en"/>
        </w:rPr>
        <w:t xml:space="preserve">Following the SEEA Central Framework, air emissions accounts record the generation of emissions by resident economic units by type of substance.</w:t>
      </w:r>
      <w:hyperlink w:anchor="user-content-fn-21">
        <w:r>
          <w:rPr>
            <w:rStyle w:val="Hyperlink"/>
            <w:vertAlign w:val="superscript"/>
            <w:lang w:val="en"/>
          </w:rPr>
          <w:t xml:space="preserve">24</w:t>
        </w:r>
      </w:hyperlink>
    </w:p>
    <w:p>
      <w:pPr>
        <w:pStyle w:val="BodyText"/>
      </w:pPr>
      <w:r>
        <w:rPr>
          <w:lang w:val="en"/>
        </w:rPr>
        <w:t xml:space="preserve">¶2</w:t>
      </w:r>
      <w:r>
        <w:rPr>
          <w:lang w:val="en"/>
        </w:rPr>
        <w:t xml:space="preserve"> </w:t>
      </w:r>
      <w:r>
        <w:rPr>
          <w:bCs/>
          <w:b/>
          <w:lang w:val="en"/>
        </w:rPr>
        <w:t xml:space="preserve">GHG emissions from shipping include: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Substance</w:t>
            </w:r>
          </w:p>
        </w:tc>
        <w:tc>
          <w:tcPr/>
          <w:p>
            <w:pPr>
              <w:pStyle w:val="Compact"/>
              <w:jc w:val="left"/>
            </w:pPr>
            <w:r>
              <w:rPr>
                <w:lang w:val="en"/>
              </w:rPr>
              <w:t xml:space="preserve">Chemical Symbol</w:t>
            </w:r>
          </w:p>
        </w:tc>
        <w:tc>
          <w:tcPr/>
          <w:p>
            <w:pPr>
              <w:pStyle w:val="Compact"/>
              <w:jc w:val="left"/>
            </w:pPr>
            <w:r>
              <w:rPr>
                <w:lang w:val="en"/>
              </w:rPr>
              <w:t xml:space="preserve">Primary Source</w:t>
            </w:r>
          </w:p>
        </w:tc>
        <w:tc>
          <w:tcPr/>
          <w:p>
            <w:pPr>
              <w:pStyle w:val="Compact"/>
              <w:jc w:val="left"/>
            </w:pPr>
            <w:r>
              <w:rPr>
                <w:lang w:val="en"/>
              </w:rPr>
              <w:t xml:space="preserve">GWP100 (AR6)</w:t>
            </w:r>
          </w:p>
        </w:tc>
      </w:tr>
      <w:tr>
        <w:tc>
          <w:tcPr/>
          <w:p>
            <w:pPr>
              <w:pStyle w:val="Compact"/>
              <w:jc w:val="left"/>
            </w:pPr>
            <w:r>
              <w:rPr>
                <w:lang w:val="en"/>
              </w:rPr>
              <w:t xml:space="preserve">Carbon dioxide</w:t>
            </w:r>
          </w:p>
        </w:tc>
        <w:tc>
          <w:tcPr/>
          <w:p>
            <w:pPr>
              <w:pStyle w:val="Compact"/>
              <w:jc w:val="left"/>
            </w:pPr>
            <w:r>
              <w:rPr>
                <w:lang w:val="en"/>
              </w:rPr>
              <w:t xml:space="preserve">CO2</w:t>
            </w:r>
          </w:p>
        </w:tc>
        <w:tc>
          <w:tcPr/>
          <w:p>
            <w:pPr>
              <w:pStyle w:val="Compact"/>
              <w:jc w:val="left"/>
            </w:pPr>
            <w:r>
              <w:rPr>
                <w:lang w:val="en"/>
              </w:rPr>
              <w:t xml:space="preserve">Fuel combustion</w:t>
            </w:r>
          </w:p>
        </w:tc>
        <w:tc>
          <w:tcPr/>
          <w:p>
            <w:pPr>
              <w:pStyle w:val="Compact"/>
              <w:jc w:val="left"/>
            </w:pPr>
            <w:r>
              <w:rPr>
                <w:lang w:val="en"/>
              </w:rPr>
              <w:t xml:space="preserve">1</w:t>
            </w:r>
          </w:p>
        </w:tc>
      </w:tr>
      <w:tr>
        <w:tc>
          <w:tcPr/>
          <w:p>
            <w:pPr>
              <w:pStyle w:val="Compact"/>
              <w:jc w:val="left"/>
            </w:pPr>
            <w:r>
              <w:rPr>
                <w:lang w:val="en"/>
              </w:rPr>
              <w:t xml:space="preserve">Methane (fossil)</w:t>
            </w:r>
          </w:p>
        </w:tc>
        <w:tc>
          <w:tcPr/>
          <w:p>
            <w:pPr>
              <w:pStyle w:val="Compact"/>
              <w:jc w:val="left"/>
            </w:pPr>
            <w:r>
              <w:rPr>
                <w:lang w:val="en"/>
              </w:rPr>
              <w:t xml:space="preserve">CH4</w:t>
            </w:r>
          </w:p>
        </w:tc>
        <w:tc>
          <w:tcPr/>
          <w:p>
            <w:pPr>
              <w:pStyle w:val="Compact"/>
              <w:jc w:val="left"/>
            </w:pPr>
            <w:r>
              <w:rPr>
                <w:lang w:val="en"/>
              </w:rPr>
              <w:t xml:space="preserve">Fuel combustion, LNG slip</w:t>
            </w:r>
          </w:p>
        </w:tc>
        <w:tc>
          <w:tcPr/>
          <w:p>
            <w:pPr>
              <w:pStyle w:val="Compact"/>
              <w:jc w:val="left"/>
            </w:pPr>
            <w:r>
              <w:rPr>
                <w:lang w:val="en"/>
              </w:rPr>
              <w:t xml:space="preserve">29.8</w:t>
            </w:r>
          </w:p>
        </w:tc>
      </w:tr>
      <w:tr>
        <w:tc>
          <w:tcPr/>
          <w:p>
            <w:pPr>
              <w:pStyle w:val="Compact"/>
              <w:jc w:val="left"/>
            </w:pPr>
            <w:r>
              <w:rPr>
                <w:lang w:val="en"/>
              </w:rPr>
              <w:t xml:space="preserve">Methane (biogenic)</w:t>
            </w:r>
          </w:p>
        </w:tc>
        <w:tc>
          <w:tcPr/>
          <w:p>
            <w:pPr>
              <w:pStyle w:val="Compact"/>
              <w:jc w:val="left"/>
            </w:pPr>
            <w:r>
              <w:rPr>
                <w:lang w:val="en"/>
              </w:rPr>
              <w:t xml:space="preserve">CH4</w:t>
            </w:r>
          </w:p>
        </w:tc>
        <w:tc>
          <w:tcPr/>
          <w:p>
            <w:pPr>
              <w:pStyle w:val="Compact"/>
              <w:jc w:val="left"/>
            </w:pPr>
            <w:r>
              <w:rPr>
                <w:lang w:val="en"/>
              </w:rPr>
              <w:t xml:space="preserve">Biofuel combustion</w:t>
            </w:r>
          </w:p>
        </w:tc>
        <w:tc>
          <w:tcPr/>
          <w:p>
            <w:pPr>
              <w:pStyle w:val="Compact"/>
              <w:jc w:val="left"/>
            </w:pPr>
            <w:r>
              <w:rPr>
                <w:lang w:val="en"/>
              </w:rPr>
              <w:t xml:space="preserve">27.0</w:t>
            </w:r>
          </w:p>
        </w:tc>
      </w:tr>
      <w:tr>
        <w:tc>
          <w:tcPr/>
          <w:p>
            <w:pPr>
              <w:pStyle w:val="Compact"/>
              <w:jc w:val="left"/>
            </w:pPr>
            <w:r>
              <w:rPr>
                <w:lang w:val="en"/>
              </w:rPr>
              <w:t xml:space="preserve">Nitrous oxide</w:t>
            </w:r>
          </w:p>
        </w:tc>
        <w:tc>
          <w:tcPr/>
          <w:p>
            <w:pPr>
              <w:pStyle w:val="Compact"/>
              <w:jc w:val="left"/>
            </w:pPr>
            <w:r>
              <w:rPr>
                <w:lang w:val="en"/>
              </w:rPr>
              <w:t xml:space="preserve">N2O</w:t>
            </w:r>
          </w:p>
        </w:tc>
        <w:tc>
          <w:tcPr/>
          <w:p>
            <w:pPr>
              <w:pStyle w:val="Compact"/>
              <w:jc w:val="left"/>
            </w:pPr>
            <w:r>
              <w:rPr>
                <w:lang w:val="en"/>
              </w:rPr>
              <w:t xml:space="preserve">Fuel combustion</w:t>
            </w:r>
          </w:p>
        </w:tc>
        <w:tc>
          <w:tcPr/>
          <w:p>
            <w:pPr>
              <w:pStyle w:val="Compact"/>
              <w:jc w:val="left"/>
            </w:pPr>
            <w:r>
              <w:rPr>
                <w:lang w:val="en"/>
              </w:rPr>
              <w:t xml:space="preserve">273</w:t>
            </w:r>
          </w:p>
        </w:tc>
      </w:tr>
    </w:tbl>
    <w:p>
      <w:pPr>
        <w:pStyle w:val="BodyText"/>
      </w:pPr>
      <w:r>
        <w:rPr>
          <w:lang w:val="en"/>
        </w:rPr>
        <w:t xml:space="preserve">¶3</w:t>
      </w:r>
      <w:r>
        <w:rPr>
          <w:lang w:val="en"/>
        </w:rPr>
        <w:t xml:space="preserve"> </w:t>
      </w:r>
      <w:r>
        <w:rPr>
          <w:lang w:val="en"/>
        </w:rPr>
        <w:t xml:space="preserve">GWP100 values are taken from IPCC AR6 WGI Chapter 7 Supplementary Material Table 7.SM.7.</w:t>
      </w:r>
      <w:hyperlink w:anchor="user-content-fn-21a">
        <w:r>
          <w:rPr>
            <w:rStyle w:val="Hyperlink"/>
            <w:vertAlign w:val="superscript"/>
            <w:lang w:val="en"/>
          </w:rPr>
          <w:t xml:space="preserve">25</w:t>
        </w:r>
      </w:hyperlink>
      <w:r>
        <w:rPr>
          <w:lang w:val="en"/>
        </w:rPr>
        <w:t xml:space="preserve"> </w:t>
      </w:r>
      <w:r>
        <w:rPr>
          <w:lang w:val="en"/>
        </w:rPr>
        <w:t xml:space="preserve">Compilers should align the GWP cycle (AR5 vs. AR6) used in maritime transport accounts with the cycle adopted in their country’s national GHG inventory under UNFCCC reporting. AR5 GWP100 values may be retained for historical comparability in time series where the national inventory has not yet transitioned.</w:t>
      </w:r>
    </w:p>
    <w:p>
      <w:pPr>
        <w:pStyle w:val="BodyText"/>
      </w:pPr>
      <w:r>
        <w:rPr>
          <w:lang w:val="en"/>
        </w:rPr>
        <w:t xml:space="preserve">¶4</w:t>
      </w:r>
      <w:r>
        <w:rPr>
          <w:lang w:val="en"/>
        </w:rPr>
        <w:t xml:space="preserve"> </w:t>
      </w:r>
      <w:r>
        <w:rPr>
          <w:bCs/>
          <w:b/>
          <w:lang w:val="en"/>
        </w:rPr>
        <w:t xml:space="preserve">Estimation methodology:</w:t>
      </w:r>
    </w:p>
    <w:p>
      <w:pPr>
        <w:pStyle w:val="BodyText"/>
      </w:pPr>
      <w:r>
        <w:rPr>
          <w:lang w:val="en"/>
        </w:rPr>
        <w:t xml:space="preserve">¶5</w:t>
      </w:r>
      <w:r>
        <w:rPr>
          <w:lang w:val="en"/>
        </w:rPr>
        <w:t xml:space="preserve"> </w:t>
      </w:r>
      <w:r>
        <w:rPr>
          <w:lang w:val="en"/>
        </w:rPr>
        <w:t xml:space="preserve">Shipping emissions are typically estimated using activity-based methods:</w:t>
      </w:r>
      <w:hyperlink w:anchor="user-content-fn-22">
        <w:r>
          <w:rPr>
            <w:rStyle w:val="Hyperlink"/>
            <w:vertAlign w:val="superscript"/>
            <w:lang w:val="en"/>
          </w:rPr>
          <w:t xml:space="preserve">26</w:t>
        </w:r>
      </w:hyperlink>
    </w:p>
    <w:p>
      <w:pPr>
        <w:pStyle w:val="BodyText"/>
      </w:pPr>
      <w:r>
        <w:rPr>
          <w:lang w:val="en"/>
        </w:rPr>
        <w:t xml:space="preserve">¶6</w:t>
      </w:r>
      <w:r>
        <w:rPr>
          <w:lang w:val="en"/>
        </w:rPr>
        <w:t xml:space="preserve"> </w:t>
      </w:r>
      <m:oMathPara>
        <m:oMathParaPr>
          <m:jc m:val="center"/>
        </m:oMathParaPr>
        <m:oMath>
          <m:r>
            <m:t>E</m:t>
          </m:r>
          <m:r>
            <m:rPr>
              <m:sty m:val="p"/>
            </m:rPr>
            <m:t>=</m:t>
          </m:r>
          <m:nary>
            <m:naryPr>
              <m:chr m:val="∑"/>
              <m:limLoc m:val="undOvr"/>
              <m:subHide m:val="off"/>
              <m:supHide m:val="on"/>
            </m:naryPr>
            <m:sub>
              <m:r>
                <m:t>v</m:t>
              </m:r>
            </m:sub>
            <m:sup>
              <m:r>
                <m:t>​</m:t>
              </m:r>
            </m:sup>
            <m:e>
              <m:nary>
                <m:naryPr>
                  <m:chr m:val="∑"/>
                  <m:limLoc m:val="undOvr"/>
                  <m:subHide m:val="off"/>
                  <m:supHide m:val="on"/>
                </m:naryPr>
                <m:sub>
                  <m:r>
                    <m:t>m</m:t>
                  </m:r>
                </m:sub>
                <m:sup>
                  <m:r>
                    <m:t>​</m:t>
                  </m:r>
                </m:sup>
                <m:e>
                  <m:d>
                    <m:dPr>
                      <m:begChr m:val="("/>
                      <m:endChr m:val=")"/>
                      <m:sepChr m:val=""/>
                      <m:grow/>
                    </m:dPr>
                    <m:e>
                      <m:sSub>
                        <m:e>
                          <m:r>
                            <m:t>A</m:t>
                          </m:r>
                        </m:e>
                        <m:sub>
                          <m:r>
                            <m:t>v</m:t>
                          </m:r>
                          <m:r>
                            <m:rPr>
                              <m:sty m:val="p"/>
                            </m:rPr>
                            <m:t>,</m:t>
                          </m:r>
                          <m:r>
                            <m:t>m</m:t>
                          </m:r>
                        </m:sub>
                      </m:sSub>
                      <m:r>
                        <m:rPr>
                          <m:sty m:val="p"/>
                        </m:rPr>
                        <m:t>×</m:t>
                      </m:r>
                      <m:r>
                        <m:t>E</m:t>
                      </m:r>
                      <m:sSub>
                        <m:e>
                          <m:r>
                            <m:t>F</m:t>
                          </m:r>
                        </m:e>
                        <m:sub>
                          <m:r>
                            <m:t>v</m:t>
                          </m:r>
                          <m:r>
                            <m:rPr>
                              <m:sty m:val="p"/>
                            </m:rPr>
                            <m:t>,</m:t>
                          </m:r>
                          <m:r>
                            <m:t>m</m:t>
                          </m:r>
                        </m:sub>
                      </m:sSub>
                    </m:e>
                  </m:d>
                </m:e>
              </m:nary>
            </m:e>
          </m:nary>
        </m:oMath>
      </m:oMathPara>
      <w:r>
        <w:rPr>
          <w:lang w:val="en"/>
        </w:rPr>
        <w:t xml:space="preserve">E</w:t>
      </w:r>
      <w:r>
        <w:rPr>
          <w:lang w:val="en"/>
        </w:rPr>
        <w:t xml:space="preserve">=</w:t>
      </w:r>
      <w:r>
        <w:rPr>
          <w:lang w:val="en"/>
        </w:rPr>
        <w:t xml:space="preserve">v</w:t>
      </w:r>
      <w:r>
        <w:rPr>
          <w:lang w:val="en"/>
        </w:rPr>
        <w:t xml:space="preserve">∑</w:t>
      </w:r>
      <w:r>
        <w:rPr>
          <w:lang w:val="en"/>
        </w:rPr>
        <w:t xml:space="preserve">​</w:t>
      </w:r>
      <w:r>
        <w:rPr>
          <w:lang w:val="en"/>
        </w:rPr>
        <w:t xml:space="preserve">m</w:t>
      </w:r>
      <w:r>
        <w:rPr>
          <w:lang w:val="en"/>
        </w:rPr>
        <w:t xml:space="preserve">∑</w:t>
      </w:r>
      <w:r>
        <w:rPr>
          <w:lang w:val="en"/>
        </w:rPr>
        <w:t xml:space="preserve">​</w:t>
      </w:r>
      <w:r>
        <w:rPr>
          <w:lang w:val="en"/>
        </w:rPr>
        <w:t xml:space="preserve">(</w:t>
      </w:r>
      <w:r>
        <w:rPr>
          <w:lang w:val="en"/>
        </w:rPr>
        <w:t xml:space="preserve">A</w:t>
      </w:r>
      <w:r>
        <w:rPr>
          <w:lang w:val="en"/>
        </w:rPr>
        <w:t xml:space="preserve">v</w:t>
      </w:r>
      <w:r>
        <w:rPr>
          <w:lang w:val="en"/>
        </w:rPr>
        <w:t xml:space="preserve">,</w:t>
      </w:r>
      <w:r>
        <w:rPr>
          <w:lang w:val="en"/>
        </w:rPr>
        <w:t xml:space="preserve">m</w:t>
      </w:r>
      <w:r>
        <w:rPr>
          <w:lang w:val="en"/>
        </w:rPr>
        <w:t xml:space="preserve">​</w:t>
      </w:r>
      <w:r>
        <w:rPr>
          <w:lang w:val="en"/>
        </w:rPr>
        <w:t xml:space="preserve">×</w:t>
      </w:r>
      <w:r>
        <w:rPr>
          <w:lang w:val="en"/>
        </w:rPr>
        <w:t xml:space="preserve">E</w:t>
      </w:r>
      <w:r>
        <w:rPr>
          <w:lang w:val="en"/>
        </w:rPr>
        <w:t xml:space="preserve">F</w:t>
      </w:r>
      <w:r>
        <w:rPr>
          <w:lang w:val="en"/>
        </w:rPr>
        <w:t xml:space="preserve">v</w:t>
      </w:r>
      <w:r>
        <w:rPr>
          <w:lang w:val="en"/>
        </w:rPr>
        <w:t xml:space="preserve">,</w:t>
      </w:r>
      <w:r>
        <w:rPr>
          <w:lang w:val="en"/>
        </w:rPr>
        <w:t xml:space="preserve">m</w:t>
      </w:r>
      <w:r>
        <w:rPr>
          <w:lang w:val="en"/>
        </w:rPr>
        <w:t xml:space="preserve">​</w:t>
      </w:r>
      <w:r>
        <w:rPr>
          <w:lang w:val="en"/>
        </w:rPr>
        <w:t xml:space="preserve">)</w:t>
      </w:r>
    </w:p>
    <w:p>
      <w:pPr>
        <w:pStyle w:val="FirstParagraph"/>
      </w:pPr>
      <w:r>
        <w:rPr>
          <w:lang w:val="en"/>
        </w:rPr>
        <w:t xml:space="preserve">¶7</w:t>
      </w:r>
      <w:r>
        <w:rPr>
          <w:lang w:val="en"/>
        </w:rPr>
        <w:t xml:space="preserve"> </w:t>
      </w:r>
      <w:r>
        <w:rPr>
          <w:lang w:val="en"/>
        </w:rPr>
        <w:t xml:space="preserve">Where:</w:t>
      </w:r>
    </w:p>
    <w:p>
      <w:pPr>
        <w:numPr>
          <w:ilvl w:val="0"/>
          <w:numId w:val="1011"/>
        </w:numPr>
        <w:pStyle w:val="Compact"/>
      </w:pPr>
      <w:r>
        <w:rPr>
          <w:lang w:val="en"/>
        </w:rPr>
        <w:t xml:space="preserve">¶8</w:t>
      </w:r>
      <w:r>
        <w:rPr>
          <w:lang w:val="en"/>
        </w:rPr>
        <w:t xml:space="preserve"> </w:t>
      </w:r>
      <w:r>
        <w:rPr>
          <w:lang w:val="en"/>
        </w:rPr>
        <w:t xml:space="preserve">E = Total emissions</w:t>
      </w:r>
    </w:p>
    <w:p>
      <w:pPr>
        <w:numPr>
          <w:ilvl w:val="0"/>
          <w:numId w:val="1011"/>
        </w:numPr>
        <w:pStyle w:val="Compact"/>
      </w:pPr>
      <w:r>
        <w:rPr>
          <w:lang w:val="en"/>
        </w:rPr>
        <w:t xml:space="preserve">¶9</w:t>
      </w:r>
      <w:r>
        <w:rPr>
          <w:lang w:val="en"/>
        </w:rPr>
        <w:t xml:space="preserve"> </w:t>
      </w:r>
      <w:r>
        <w:rPr>
          <w:lang w:val="en"/>
        </w:rPr>
        <w:t xml:space="preserve">A = Activity (fuel consumption or distance travelled)</w:t>
      </w:r>
    </w:p>
    <w:p>
      <w:pPr>
        <w:numPr>
          <w:ilvl w:val="0"/>
          <w:numId w:val="1011"/>
        </w:numPr>
        <w:pStyle w:val="Compact"/>
      </w:pPr>
      <w:r>
        <w:rPr>
          <w:lang w:val="en"/>
        </w:rPr>
        <w:t xml:space="preserve">¶10</w:t>
      </w:r>
      <w:r>
        <w:rPr>
          <w:lang w:val="en"/>
        </w:rPr>
        <w:t xml:space="preserve"> </w:t>
      </w:r>
      <w:r>
        <w:rPr>
          <w:lang w:val="en"/>
        </w:rPr>
        <w:t xml:space="preserve">EF = Emission factor</w:t>
      </w:r>
    </w:p>
    <w:p>
      <w:pPr>
        <w:numPr>
          <w:ilvl w:val="0"/>
          <w:numId w:val="1011"/>
        </w:numPr>
        <w:pStyle w:val="Compact"/>
      </w:pPr>
      <w:r>
        <w:rPr>
          <w:lang w:val="en"/>
        </w:rPr>
        <w:t xml:space="preserve">¶11</w:t>
      </w:r>
      <w:r>
        <w:rPr>
          <w:lang w:val="en"/>
        </w:rPr>
        <w:t xml:space="preserve"> </w:t>
      </w:r>
      <w:r>
        <w:rPr>
          <w:lang w:val="en"/>
        </w:rPr>
        <w:t xml:space="preserve">v = Vessel type</w:t>
      </w:r>
    </w:p>
    <w:p>
      <w:pPr>
        <w:numPr>
          <w:ilvl w:val="0"/>
          <w:numId w:val="1011"/>
        </w:numPr>
        <w:pStyle w:val="Compact"/>
      </w:pPr>
      <w:r>
        <w:rPr>
          <w:lang w:val="en"/>
        </w:rPr>
        <w:t xml:space="preserve">¶12</w:t>
      </w:r>
      <w:r>
        <w:rPr>
          <w:lang w:val="en"/>
        </w:rPr>
        <w:t xml:space="preserve"> </w:t>
      </w:r>
      <w:r>
        <w:rPr>
          <w:lang w:val="en"/>
        </w:rPr>
        <w:t xml:space="preserve">m = Operating mode (cruising, manoeuvring, at berth)</w:t>
      </w:r>
    </w:p>
    <w:p>
      <w:pPr>
        <w:pStyle w:val="FirstParagraph"/>
      </w:pPr>
      <w:r>
        <w:rPr>
          <w:lang w:val="en"/>
        </w:rPr>
        <w:t xml:space="preserve">¶13</w:t>
      </w:r>
      <w:r>
        <w:rPr>
          <w:lang w:val="en"/>
        </w:rPr>
        <w:t xml:space="preserve"> </w:t>
      </w:r>
      <w:r>
        <w:rPr>
          <w:bCs/>
          <w:b/>
          <w:lang w:val="en"/>
        </w:rPr>
        <w:t xml:space="preserve">Data sources:</w:t>
      </w:r>
    </w:p>
    <w:p>
      <w:pPr>
        <w:numPr>
          <w:ilvl w:val="0"/>
          <w:numId w:val="1012"/>
        </w:numPr>
        <w:pStyle w:val="Compact"/>
      </w:pPr>
      <w:r>
        <w:rPr>
          <w:lang w:val="en"/>
        </w:rPr>
        <w:t xml:space="preserve">¶14</w:t>
      </w:r>
      <w:r>
        <w:rPr>
          <w:lang w:val="en"/>
        </w:rPr>
        <w:t xml:space="preserve"> </w:t>
      </w:r>
      <w:r>
        <w:rPr>
          <w:lang w:val="en"/>
        </w:rPr>
        <w:t xml:space="preserve">Ship fuel consumption records</w:t>
      </w:r>
    </w:p>
    <w:p>
      <w:pPr>
        <w:numPr>
          <w:ilvl w:val="0"/>
          <w:numId w:val="1012"/>
        </w:numPr>
        <w:pStyle w:val="Compact"/>
      </w:pPr>
      <w:r>
        <w:rPr>
          <w:lang w:val="en"/>
        </w:rPr>
        <w:t xml:space="preserve">¶15</w:t>
      </w:r>
      <w:r>
        <w:rPr>
          <w:lang w:val="en"/>
        </w:rPr>
        <w:t xml:space="preserve"> </w:t>
      </w:r>
      <w:r>
        <w:rPr>
          <w:lang w:val="en"/>
        </w:rPr>
        <w:t xml:space="preserve">AIS-derived activity data</w:t>
      </w:r>
    </w:p>
    <w:p>
      <w:pPr>
        <w:numPr>
          <w:ilvl w:val="0"/>
          <w:numId w:val="1012"/>
        </w:numPr>
        <w:pStyle w:val="Compact"/>
      </w:pPr>
      <w:r>
        <w:rPr>
          <w:lang w:val="en"/>
        </w:rPr>
        <w:t xml:space="preserve">¶16</w:t>
      </w:r>
      <w:r>
        <w:rPr>
          <w:lang w:val="en"/>
        </w:rPr>
        <w:t xml:space="preserve"> </w:t>
      </w:r>
      <w:r>
        <w:rPr>
          <w:lang w:val="en"/>
        </w:rPr>
        <w:t xml:space="preserve">Port call statistics</w:t>
      </w:r>
    </w:p>
    <w:p>
      <w:pPr>
        <w:numPr>
          <w:ilvl w:val="0"/>
          <w:numId w:val="1012"/>
        </w:numPr>
        <w:pStyle w:val="Compact"/>
      </w:pPr>
      <w:r>
        <w:rPr>
          <w:lang w:val="en"/>
        </w:rPr>
        <w:t xml:space="preserve">¶17</w:t>
      </w:r>
      <w:r>
        <w:rPr>
          <w:lang w:val="en"/>
        </w:rPr>
        <w:t xml:space="preserve"> </w:t>
      </w:r>
      <w:r>
        <w:rPr>
          <w:lang w:val="en"/>
        </w:rPr>
        <w:t xml:space="preserve">National fuel sales data with maritime allocation</w:t>
      </w:r>
    </w:p>
    <w:p>
      <w:pPr>
        <w:pStyle w:val="FirstParagraph"/>
      </w:pPr>
      <w:r>
        <w:rPr>
          <w:lang w:val="en"/>
        </w:rPr>
        <w:t xml:space="preserve">¶18</w:t>
      </w:r>
      <w:r>
        <w:rPr>
          <w:lang w:val="en"/>
        </w:rPr>
        <w:t xml:space="preserve"> </w:t>
      </w:r>
      <w:r>
        <w:rPr>
          <w:lang w:val="en"/>
        </w:rPr>
        <w:t xml:space="preserve">The Fourth IMO GHG Study (2020) provides emission factor data by vessel type and operating mode. Compilers may also draw on the IPCC 2006 Guidelines, Volume 2, Chapter 3.</w:t>
      </w:r>
      <w:hyperlink w:anchor="user-content-fn-23">
        <w:r>
          <w:rPr>
            <w:rStyle w:val="Hyperlink"/>
            <w:vertAlign w:val="superscript"/>
            <w:lang w:val="en"/>
          </w:rPr>
          <w:t xml:space="preserve">27</w:t>
        </w:r>
      </w:hyperlink>
    </w:p>
    <w:p>
      <w:pPr>
        <w:pStyle w:val="BodyText"/>
      </w:pPr>
      <w:r>
        <w:rPr>
          <w:lang w:val="en"/>
        </w:rPr>
        <w:t xml:space="preserve">¶19</w:t>
      </w:r>
      <w:r>
        <w:rPr>
          <w:lang w:val="en"/>
        </w:rPr>
        <w:t xml:space="preserve"> </w:t>
      </w:r>
      <w:r>
        <w:rPr>
          <w:iCs/>
          <w:i/>
          <w:lang w:val="en"/>
        </w:rPr>
        <w:t xml:space="preserve">Table 3.3.1: Shipping emission calculation methods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Emission Source</w:t>
            </w:r>
          </w:p>
        </w:tc>
        <w:tc>
          <w:tcPr/>
          <w:p>
            <w:pPr>
              <w:pStyle w:val="Compact"/>
              <w:jc w:val="left"/>
            </w:pPr>
            <w:r>
              <w:rPr>
                <w:lang w:val="en"/>
              </w:rPr>
              <w:t xml:space="preserve">Calculation Basis</w:t>
            </w:r>
          </w:p>
        </w:tc>
        <w:tc>
          <w:tcPr/>
          <w:p>
            <w:pPr>
              <w:pStyle w:val="Compact"/>
              <w:jc w:val="left"/>
            </w:pPr>
            <w:r>
              <w:rPr>
                <w:lang w:val="en"/>
              </w:rPr>
              <w:t xml:space="preserve">Data Source</w:t>
            </w:r>
          </w:p>
        </w:tc>
        <w:tc>
          <w:tcPr/>
          <w:p>
            <w:pPr>
              <w:pStyle w:val="Compact"/>
              <w:jc w:val="left"/>
            </w:pPr>
            <w:r>
              <w:rPr>
                <w:lang w:val="en"/>
              </w:rPr>
              <w:t xml:space="preserve">Account Entry</w:t>
            </w:r>
          </w:p>
        </w:tc>
      </w:tr>
      <w:tr>
        <w:tc>
          <w:tcPr/>
          <w:p>
            <w:pPr>
              <w:pStyle w:val="Compact"/>
              <w:jc w:val="left"/>
            </w:pPr>
            <w:r>
              <w:rPr>
                <w:lang w:val="en"/>
              </w:rPr>
              <w:t xml:space="preserve">Main engines</w:t>
            </w:r>
          </w:p>
        </w:tc>
        <w:tc>
          <w:tcPr/>
          <w:p>
            <w:pPr>
              <w:pStyle w:val="Compact"/>
              <w:jc w:val="left"/>
            </w:pPr>
            <w:r>
              <w:rPr>
                <w:lang w:val="en"/>
              </w:rPr>
              <w:t xml:space="preserve">Fuel consumption x EF</w:t>
            </w:r>
          </w:p>
        </w:tc>
        <w:tc>
          <w:tcPr/>
          <w:p>
            <w:pPr>
              <w:pStyle w:val="Compact"/>
              <w:jc w:val="left"/>
            </w:pPr>
            <w:r>
              <w:rPr>
                <w:lang w:val="en"/>
              </w:rPr>
              <w:t xml:space="preserve">Fuel sales, voyage reports</w:t>
            </w:r>
          </w:p>
        </w:tc>
        <w:tc>
          <w:tcPr/>
          <w:p>
            <w:pPr>
              <w:pStyle w:val="Compact"/>
              <w:jc w:val="left"/>
            </w:pPr>
            <w:r>
              <w:rPr>
                <w:lang w:val="en"/>
              </w:rPr>
              <w:t xml:space="preserve">Residual flow (air)</w:t>
            </w:r>
          </w:p>
        </w:tc>
      </w:tr>
      <w:tr>
        <w:tc>
          <w:tcPr/>
          <w:p>
            <w:pPr>
              <w:pStyle w:val="Compact"/>
              <w:jc w:val="left"/>
            </w:pPr>
            <w:r>
              <w:rPr>
                <w:lang w:val="en"/>
              </w:rPr>
              <w:t xml:space="preserve">Auxiliary engines</w:t>
            </w:r>
          </w:p>
        </w:tc>
        <w:tc>
          <w:tcPr/>
          <w:p>
            <w:pPr>
              <w:pStyle w:val="Compact"/>
              <w:jc w:val="left"/>
            </w:pPr>
            <w:r>
              <w:rPr>
                <w:lang w:val="en"/>
              </w:rPr>
              <w:t xml:space="preserve">Activity hours x load factor x EF</w:t>
            </w:r>
          </w:p>
        </w:tc>
        <w:tc>
          <w:tcPr/>
          <w:p>
            <w:pPr>
              <w:pStyle w:val="Compact"/>
              <w:jc w:val="left"/>
            </w:pPr>
            <w:r>
              <w:rPr>
                <w:lang w:val="en"/>
              </w:rPr>
              <w:t xml:space="preserve">Port records</w:t>
            </w:r>
          </w:p>
        </w:tc>
        <w:tc>
          <w:tcPr/>
          <w:p>
            <w:pPr>
              <w:pStyle w:val="Compact"/>
              <w:jc w:val="left"/>
            </w:pPr>
            <w:r>
              <w:rPr>
                <w:lang w:val="en"/>
              </w:rPr>
              <w:t xml:space="preserve">Residual flow (air)</w:t>
            </w:r>
          </w:p>
        </w:tc>
      </w:tr>
      <w:tr>
        <w:tc>
          <w:tcPr/>
          <w:p>
            <w:pPr>
              <w:pStyle w:val="Compact"/>
              <w:jc w:val="left"/>
            </w:pPr>
            <w:r>
              <w:rPr>
                <w:lang w:val="en"/>
              </w:rPr>
              <w:t xml:space="preserve">Underwater noise</w:t>
            </w:r>
          </w:p>
        </w:tc>
        <w:tc>
          <w:tcPr/>
          <w:p>
            <w:pPr>
              <w:pStyle w:val="Compact"/>
              <w:jc w:val="left"/>
            </w:pPr>
            <w:r>
              <w:rPr>
                <w:lang w:val="en"/>
              </w:rPr>
              <w:t xml:space="preserve">Vessel type x speed</w:t>
            </w:r>
          </w:p>
        </w:tc>
        <w:tc>
          <w:tcPr/>
          <w:p>
            <w:pPr>
              <w:pStyle w:val="Compact"/>
              <w:jc w:val="left"/>
            </w:pPr>
            <w:r>
              <w:rPr>
                <w:lang w:val="en"/>
              </w:rPr>
              <w:t xml:space="preserve">AIS data</w:t>
            </w:r>
          </w:p>
        </w:tc>
        <w:tc>
          <w:tcPr/>
          <w:p>
            <w:pPr>
              <w:pStyle w:val="Compact"/>
              <w:jc w:val="left"/>
            </w:pPr>
            <w:r>
              <w:rPr>
                <w:lang w:val="en"/>
              </w:rPr>
              <w:t xml:space="preserve">Condition impact</w:t>
            </w:r>
          </w:p>
        </w:tc>
      </w:tr>
      <w:tr>
        <w:tc>
          <w:tcPr/>
          <w:p>
            <w:pPr>
              <w:pStyle w:val="Compact"/>
              <w:jc w:val="left"/>
            </w:pPr>
            <w:r>
              <w:rPr>
                <w:lang w:val="en"/>
              </w:rPr>
              <w:t xml:space="preserve">Oil discharge</w:t>
            </w:r>
          </w:p>
        </w:tc>
        <w:tc>
          <w:tcPr/>
          <w:p>
            <w:pPr>
              <w:pStyle w:val="Compact"/>
              <w:jc w:val="left"/>
            </w:pPr>
            <w:r>
              <w:rPr>
                <w:lang w:val="en"/>
              </w:rPr>
              <w:t xml:space="preserve">Incident reports</w:t>
            </w:r>
          </w:p>
        </w:tc>
        <w:tc>
          <w:tcPr/>
          <w:p>
            <w:pPr>
              <w:pStyle w:val="Compact"/>
              <w:jc w:val="left"/>
            </w:pPr>
            <w:r>
              <w:rPr>
                <w:lang w:val="en"/>
              </w:rPr>
              <w:t xml:space="preserve">Coast guard</w:t>
            </w:r>
          </w:p>
        </w:tc>
        <w:tc>
          <w:tcPr/>
          <w:p>
            <w:pPr>
              <w:pStyle w:val="Compact"/>
              <w:jc w:val="left"/>
            </w:pPr>
            <w:r>
              <w:rPr>
                <w:lang w:val="en"/>
              </w:rPr>
              <w:t xml:space="preserve">Residual flow (water)</w:t>
            </w:r>
          </w:p>
        </w:tc>
      </w:tr>
    </w:tbl>
    <w:p>
      <w:pPr>
        <w:pStyle w:val="BodyText"/>
      </w:pPr>
      <w:r>
        <w:rPr>
          <w:lang w:val="en"/>
        </w:rPr>
        <w:t xml:space="preserve">¶20</w:t>
      </w:r>
      <w:r>
        <w:rPr>
          <w:lang w:val="en"/>
        </w:rPr>
        <w:t xml:space="preserve"> </w:t>
      </w:r>
      <w:r>
        <w:rPr>
          <w:lang w:val="en"/>
        </w:rPr>
        <w:t xml:space="preserve">Ballast water discharge is not an air emission or a SEEA residual air flow. It is a biological pressure with ecosystem condition implications. The accounting treatment for ballast water is set out in Section 3.5.1.</w:t>
      </w:r>
    </w:p>
    <w:p>
      <w:pPr>
        <w:pStyle w:val="BodyText"/>
      </w:pPr>
      <w:r>
        <w:rPr>
          <w:lang w:val="en"/>
        </w:rPr>
        <w:t xml:space="preserve">¶21</w:t>
      </w:r>
      <w:r>
        <w:rPr>
          <w:lang w:val="en"/>
        </w:rPr>
        <w:t xml:space="preserve"> </w:t>
      </w:r>
      <w:r>
        <w:rPr>
          <w:bCs/>
          <w:b/>
          <w:lang w:val="en"/>
        </w:rPr>
        <w:t xml:space="preserve">Residence principle application:</w:t>
      </w:r>
    </w:p>
    <w:p>
      <w:pPr>
        <w:pStyle w:val="BodyText"/>
      </w:pPr>
      <w:r>
        <w:rPr>
          <w:lang w:val="en"/>
        </w:rPr>
        <w:t xml:space="preserve">¶22</w:t>
      </w:r>
      <w:r>
        <w:rPr>
          <w:lang w:val="en"/>
        </w:rPr>
        <w:t xml:space="preserve"> </w:t>
      </w:r>
      <w:r>
        <w:rPr>
          <w:lang w:val="en"/>
        </w:rPr>
        <w:t xml:space="preserve">Following the SEEA CF residence principle, emissions should be attributed to the country where the operating enterprise is resident, not the flag state of the vessel.</w:t>
      </w:r>
      <w:hyperlink w:anchor="user-content-fn-24">
        <w:r>
          <w:rPr>
            <w:rStyle w:val="Hyperlink"/>
            <w:vertAlign w:val="superscript"/>
            <w:lang w:val="en"/>
          </w:rPr>
          <w:t xml:space="preserve">28</w:t>
        </w:r>
      </w:hyperlink>
      <w:r>
        <w:rPr>
          <w:lang w:val="en"/>
        </w:rPr>
        <w:t xml:space="preserve"> </w:t>
      </w:r>
      <w:r>
        <w:rPr>
          <w:lang w:val="en"/>
        </w:rPr>
        <w:t xml:space="preserve">In practice, emissions from a vessel flagged in one country but operated by an enterprise resident in another should be attributed to the country of the operator.</w:t>
      </w:r>
    </w:p>
    <w:p>
      <w:pPr>
        <w:pStyle w:val="BodyText"/>
      </w:pPr>
      <w:r>
        <w:rPr>
          <w:lang w:val="en"/>
        </w:rPr>
        <w:t xml:space="preserve">¶23</w:t>
      </w:r>
      <w:r>
        <w:rPr>
          <w:lang w:val="en"/>
        </w:rPr>
        <w:t xml:space="preserve"> </w:t>
      </w:r>
      <w:r>
        <w:rPr>
          <w:bCs/>
          <w:b/>
          <w:lang w:val="en"/>
        </w:rPr>
        <w:t xml:space="preserve">Reconciliation with IPCC national inventories.</w:t>
      </w:r>
      <w:r>
        <w:rPr>
          <w:lang w:val="en"/>
        </w:rPr>
        <w:t xml:space="preserve"> </w:t>
      </w:r>
      <w:r>
        <w:rPr>
          <w:lang w:val="en"/>
        </w:rPr>
        <w:t xml:space="preserve">The SEEA-based residence attribution will differ from IPCC national inventory treatment, which excludes international marine bunker fuels from national totals and reports them as a memo item.</w:t>
      </w:r>
      <w:hyperlink w:anchor="user-content-fn-24a">
        <w:r>
          <w:rPr>
            <w:rStyle w:val="Hyperlink"/>
            <w:vertAlign w:val="superscript"/>
            <w:lang w:val="en"/>
          </w:rPr>
          <w:t xml:space="preserve">29</w:t>
        </w:r>
      </w:hyperlink>
      <w:r>
        <w:rPr>
          <w:lang w:val="en"/>
        </w:rPr>
        <w:t xml:space="preserve"> </w:t>
      </w:r>
      <w:r>
        <w:rPr>
          <w:lang w:val="en"/>
        </w:rPr>
        <w:t xml:space="preserve">Compilers should prepare a bridging table in metadata distinguishing SEEA-attributed shipping emissions from IPCC memo-item international marine bunker fuel quantities. For broader reconciliation between thematic emissions accounts and national climate reporting, see</w:t>
      </w:r>
      <w:r>
        <w:rPr>
          <w:lang w:val="en"/>
        </w:rPr>
        <w:t xml:space="preserve"> </w:t>
      </w:r>
      <w:hyperlink r:id="rId37">
        <w:r>
          <w:rPr>
            <w:rStyle w:val="Hyperlink"/>
            <w:bCs/>
            <w:b/>
            <w:lang w:val="en"/>
          </w:rPr>
          <w:t xml:space="preserve">TG-2.8 Climate Indicators</w:t>
        </w:r>
      </w:hyperlink>
      <w:r>
        <w:rPr>
          <w:lang w:val="en"/>
        </w:rPr>
        <w:t xml:space="preserve">.</w:t>
      </w:r>
    </w:p>
    <w:p>
      <w:pPr>
        <w:pStyle w:val="BodyText"/>
      </w:pPr>
      <w:r>
        <w:rPr>
          <w:lang w:val="en"/>
        </w:rPr>
        <w:t xml:space="preserve">¶24</w:t>
      </w:r>
      <w:r>
        <w:rPr>
          <w:lang w:val="en"/>
        </w:rPr>
        <w:t xml:space="preserve"> </w:t>
      </w:r>
      <w:r>
        <w:rPr>
          <w:bCs/>
          <w:b/>
          <w:lang w:val="en"/>
        </w:rPr>
        <w:t xml:space="preserve">Flag-of-convenience and complex vessel ownership.</w:t>
      </w:r>
      <w:r>
        <w:rPr>
          <w:lang w:val="en"/>
        </w:rPr>
        <w:t xml:space="preserve"> </w:t>
      </w:r>
      <w:r>
        <w:rPr>
          <w:lang w:val="en"/>
        </w:rPr>
        <w:t xml:space="preserve">Compilers should apply the following decision tree for residence attribution: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Case</w:t>
            </w:r>
          </w:p>
        </w:tc>
        <w:tc>
          <w:tcPr/>
          <w:p>
            <w:pPr>
              <w:pStyle w:val="Compact"/>
              <w:jc w:val="left"/>
            </w:pPr>
            <w:r>
              <w:rPr>
                <w:lang w:val="en"/>
              </w:rPr>
              <w:t xml:space="preserve">Situation</w:t>
            </w:r>
          </w:p>
        </w:tc>
        <w:tc>
          <w:tcPr/>
          <w:p>
            <w:pPr>
              <w:pStyle w:val="Compact"/>
              <w:jc w:val="left"/>
            </w:pPr>
            <w:r>
              <w:rPr>
                <w:lang w:val="en"/>
              </w:rPr>
              <w:t xml:space="preserve">Attribution rule</w:t>
            </w:r>
          </w:p>
        </w:tc>
      </w:tr>
      <w:tr>
        <w:tc>
          <w:tcPr/>
          <w:p>
            <w:pPr>
              <w:pStyle w:val="Compact"/>
              <w:jc w:val="left"/>
            </w:pPr>
            <w:r>
              <w:rPr>
                <w:lang w:val="en"/>
              </w:rPr>
              <w:t xml:space="preserve">1</w:t>
            </w:r>
          </w:p>
        </w:tc>
        <w:tc>
          <w:tcPr/>
          <w:p>
            <w:pPr>
              <w:pStyle w:val="Compact"/>
              <w:jc w:val="left"/>
            </w:pPr>
            <w:r>
              <w:rPr>
                <w:lang w:val="en"/>
              </w:rPr>
              <w:t xml:space="preserve">Vessel flagged and operating enterprise resident in same country</w:t>
            </w:r>
          </w:p>
        </w:tc>
        <w:tc>
          <w:tcPr/>
          <w:p>
            <w:pPr>
              <w:pStyle w:val="Compact"/>
              <w:jc w:val="left"/>
            </w:pPr>
            <w:r>
              <w:rPr>
                <w:lang w:val="en"/>
              </w:rPr>
              <w:t xml:space="preserve">Attribute emissions and output to that country</w:t>
            </w:r>
          </w:p>
        </w:tc>
      </w:tr>
      <w:tr>
        <w:tc>
          <w:tcPr/>
          <w:p>
            <w:pPr>
              <w:pStyle w:val="Compact"/>
              <w:jc w:val="left"/>
            </w:pPr>
            <w:r>
              <w:rPr>
                <w:lang w:val="en"/>
              </w:rPr>
              <w:t xml:space="preserve">2</w:t>
            </w:r>
          </w:p>
        </w:tc>
        <w:tc>
          <w:tcPr/>
          <w:p>
            <w:pPr>
              <w:pStyle w:val="Compact"/>
              <w:jc w:val="left"/>
            </w:pPr>
            <w:r>
              <w:rPr>
                <w:lang w:val="en"/>
              </w:rPr>
              <w:t xml:space="preserve">Flag state differs from operating enterprise’s country of residence</w:t>
            </w:r>
          </w:p>
        </w:tc>
        <w:tc>
          <w:tcPr/>
          <w:p>
            <w:pPr>
              <w:pStyle w:val="Compact"/>
              <w:jc w:val="left"/>
            </w:pPr>
            <w:r>
              <w:rPr>
                <w:lang w:val="en"/>
              </w:rPr>
              <w:t xml:space="preserve">Attribute to the operator’s country of residence</w:t>
            </w:r>
          </w:p>
        </w:tc>
      </w:tr>
      <w:tr>
        <w:tc>
          <w:tcPr/>
          <w:p>
            <w:pPr>
              <w:pStyle w:val="Compact"/>
              <w:jc w:val="left"/>
            </w:pPr>
            <w:r>
              <w:rPr>
                <w:lang w:val="en"/>
              </w:rPr>
              <w:t xml:space="preserve">3</w:t>
            </w:r>
          </w:p>
        </w:tc>
        <w:tc>
          <w:tcPr/>
          <w:p>
            <w:pPr>
              <w:pStyle w:val="Compact"/>
              <w:jc w:val="left"/>
            </w:pPr>
            <w:r>
              <w:rPr>
                <w:lang w:val="en"/>
              </w:rPr>
              <w:t xml:space="preserve">Complex multinational ownership through shell companies and multiple flag states</w:t>
            </w:r>
          </w:p>
        </w:tc>
        <w:tc>
          <w:tcPr/>
          <w:p>
            <w:pPr>
              <w:pStyle w:val="Compact"/>
              <w:jc w:val="left"/>
            </w:pPr>
            <w:r>
              <w:rPr>
                <w:lang w:val="en"/>
              </w:rPr>
              <w:t xml:space="preserve">Apply the ultimate beneficial ownership chain consistent with SNA 2025 guidance; document the chain in metadata</w:t>
            </w:r>
          </w:p>
        </w:tc>
      </w:tr>
    </w:tbl>
    <w:p>
      <w:pPr>
        <w:pStyle w:val="BodyText"/>
      </w:pPr>
      <w:r>
        <w:rPr>
          <w:lang w:val="en"/>
        </w:rPr>
        <w:t xml:space="preserve">¶25</w:t>
      </w:r>
      <w:r>
        <w:rPr>
          <w:lang w:val="en"/>
        </w:rPr>
        <w:t xml:space="preserve"> </w:t>
      </w:r>
      <w:r>
        <w:rPr>
          <w:lang w:val="en"/>
        </w:rPr>
        <w:t xml:space="preserve">Practical sources include the IMO Global Integrated Shipping Information System (GISIS) and Lloyd’s Register / IHS Markit (LSEG/Clarksons) maritime databases. Open or international registries account for the majority of global gross tonnage, so most compiling countries will encounter Case 2 or Case 3 in practice.</w:t>
      </w:r>
    </w:p>
    <w:bookmarkStart w:id="89" w:name="X6a1b7fac61305d2a20ede72d31e211403441b9c"/>
    <w:p>
      <w:pPr>
        <w:pStyle w:val="Heading4"/>
      </w:pPr>
      <w:r>
        <w:rPr>
          <w:lang w:val="en"/>
        </w:rPr>
        <w:t xml:space="preserve">3.3.2</w:t>
      </w:r>
      <w:r>
        <w:rPr>
          <w:lang w:val="en"/>
        </w:rPr>
        <w:t xml:space="preserve"> </w:t>
      </w:r>
      <w:r>
        <w:rPr>
          <w:lang w:val="en"/>
        </w:rPr>
        <w:t xml:space="preserve">Air Pollutants</w:t>
      </w:r>
    </w:p>
    <w:p>
      <w:pPr>
        <w:pStyle w:val="FirstParagraph"/>
      </w:pPr>
      <w:hyperlink w:anchor="X6a1b7fac61305d2a20ede72d31e211403441b9c">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Air Pollutants”</w:t>
        </w:r>
      </w:hyperlink>
    </w:p>
    <w:bookmarkEnd w:id="89"/>
    <w:p>
      <w:pPr>
        <w:pStyle w:val="BodyText"/>
      </w:pPr>
      <w:r>
        <w:rPr>
          <w:lang w:val="en"/>
        </w:rPr>
        <w:t xml:space="preserve">¶1</w:t>
      </w:r>
      <w:r>
        <w:rPr>
          <w:lang w:val="en"/>
        </w:rPr>
        <w:t xml:space="preserve"> </w:t>
      </w:r>
      <w:r>
        <w:rPr>
          <w:lang w:val="en"/>
        </w:rPr>
        <w:t xml:space="preserve">Beyond GHGs, maritime transport releases air pollutants with local and regional health impacts:</w:t>
      </w:r>
      <w:hyperlink w:anchor="user-content-fn-25">
        <w:r>
          <w:rPr>
            <w:rStyle w:val="Hyperlink"/>
            <w:vertAlign w:val="superscript"/>
            <w:lang w:val="en"/>
          </w:rPr>
          <w:t xml:space="preserve">30</w:t>
        </w:r>
      </w:hyperlink>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Pollutant</w:t>
            </w:r>
          </w:p>
        </w:tc>
        <w:tc>
          <w:tcPr/>
          <w:p>
            <w:pPr>
              <w:pStyle w:val="Compact"/>
              <w:jc w:val="left"/>
            </w:pPr>
            <w:r>
              <w:rPr>
                <w:lang w:val="en"/>
              </w:rPr>
              <w:t xml:space="preserve">Symbol</w:t>
            </w:r>
          </w:p>
        </w:tc>
        <w:tc>
          <w:tcPr/>
          <w:p>
            <w:pPr>
              <w:pStyle w:val="Compact"/>
              <w:jc w:val="left"/>
            </w:pPr>
            <w:r>
              <w:rPr>
                <w:lang w:val="en"/>
              </w:rPr>
              <w:t xml:space="preserve">Impact</w:t>
            </w:r>
          </w:p>
        </w:tc>
        <w:tc>
          <w:tcPr/>
          <w:p>
            <w:pPr>
              <w:pStyle w:val="Compact"/>
              <w:jc w:val="left"/>
            </w:pPr>
            <w:r>
              <w:rPr>
                <w:lang w:val="en"/>
              </w:rPr>
              <w:t xml:space="preserve">Mitigation</w:t>
            </w:r>
          </w:p>
        </w:tc>
      </w:tr>
      <w:tr>
        <w:tc>
          <w:tcPr/>
          <w:p>
            <w:pPr>
              <w:pStyle w:val="Compact"/>
              <w:jc w:val="left"/>
            </w:pPr>
            <w:r>
              <w:rPr>
                <w:lang w:val="en"/>
              </w:rPr>
              <w:t xml:space="preserve">Sulphur oxides</w:t>
            </w:r>
          </w:p>
        </w:tc>
        <w:tc>
          <w:tcPr/>
          <w:p>
            <w:pPr>
              <w:pStyle w:val="Compact"/>
              <w:jc w:val="left"/>
            </w:pPr>
            <w:r>
              <w:rPr>
                <w:lang w:val="en"/>
              </w:rPr>
              <w:t xml:space="preserve">SOx</w:t>
            </w:r>
          </w:p>
        </w:tc>
        <w:tc>
          <w:tcPr/>
          <w:p>
            <w:pPr>
              <w:pStyle w:val="Compact"/>
              <w:jc w:val="left"/>
            </w:pPr>
            <w:r>
              <w:rPr>
                <w:lang w:val="en"/>
              </w:rPr>
              <w:t xml:space="preserve">Acid rain, respiratory health</w:t>
            </w:r>
          </w:p>
        </w:tc>
        <w:tc>
          <w:tcPr/>
          <w:p>
            <w:pPr>
              <w:pStyle w:val="Compact"/>
              <w:jc w:val="left"/>
            </w:pPr>
            <w:r>
              <w:rPr>
                <w:lang w:val="en"/>
              </w:rPr>
              <w:t xml:space="preserve">Low-sulphur fuel, scrubbers</w:t>
            </w:r>
          </w:p>
        </w:tc>
      </w:tr>
      <w:tr>
        <w:tc>
          <w:tcPr/>
          <w:p>
            <w:pPr>
              <w:pStyle w:val="Compact"/>
              <w:jc w:val="left"/>
            </w:pPr>
            <w:r>
              <w:rPr>
                <w:lang w:val="en"/>
              </w:rPr>
              <w:t xml:space="preserve">Nitrogen oxides</w:t>
            </w:r>
          </w:p>
        </w:tc>
        <w:tc>
          <w:tcPr/>
          <w:p>
            <w:pPr>
              <w:pStyle w:val="Compact"/>
              <w:jc w:val="left"/>
            </w:pPr>
            <w:r>
              <w:rPr>
                <w:lang w:val="en"/>
              </w:rPr>
              <w:t xml:space="preserve">NOx</w:t>
            </w:r>
          </w:p>
        </w:tc>
        <w:tc>
          <w:tcPr/>
          <w:p>
            <w:pPr>
              <w:pStyle w:val="Compact"/>
              <w:jc w:val="left"/>
            </w:pPr>
            <w:r>
              <w:rPr>
                <w:lang w:val="en"/>
              </w:rPr>
              <w:t xml:space="preserve">Smog, respiratory health</w:t>
            </w:r>
          </w:p>
        </w:tc>
        <w:tc>
          <w:tcPr/>
          <w:p>
            <w:pPr>
              <w:pStyle w:val="Compact"/>
              <w:jc w:val="left"/>
            </w:pPr>
            <w:r>
              <w:rPr>
                <w:lang w:val="en"/>
              </w:rPr>
              <w:t xml:space="preserve">Emission control areas (ECAs)</w:t>
            </w:r>
          </w:p>
        </w:tc>
      </w:tr>
      <w:tr>
        <w:tc>
          <w:tcPr/>
          <w:p>
            <w:pPr>
              <w:pStyle w:val="Compact"/>
              <w:jc w:val="left"/>
            </w:pPr>
            <w:r>
              <w:rPr>
                <w:lang w:val="en"/>
              </w:rPr>
              <w:t xml:space="preserve">Particulate matter</w:t>
            </w:r>
          </w:p>
        </w:tc>
        <w:tc>
          <w:tcPr/>
          <w:p>
            <w:pPr>
              <w:pStyle w:val="Compact"/>
              <w:jc w:val="left"/>
            </w:pPr>
            <w:r>
              <w:rPr>
                <w:lang w:val="en"/>
              </w:rPr>
              <w:t xml:space="preserve">PM</w:t>
            </w:r>
          </w:p>
        </w:tc>
        <w:tc>
          <w:tcPr/>
          <w:p>
            <w:pPr>
              <w:pStyle w:val="Compact"/>
              <w:jc w:val="left"/>
            </w:pPr>
            <w:r>
              <w:rPr>
                <w:lang w:val="en"/>
              </w:rPr>
              <w:t xml:space="preserve">Cardiovascular, respiratory</w:t>
            </w:r>
          </w:p>
        </w:tc>
        <w:tc>
          <w:tcPr/>
          <w:p>
            <w:pPr>
              <w:pStyle w:val="Compact"/>
              <w:jc w:val="left"/>
            </w:pPr>
            <w:r>
              <w:rPr>
                <w:lang w:val="en"/>
              </w:rPr>
              <w:t xml:space="preserve">Engine efficiency, fuel quality</w:t>
            </w:r>
          </w:p>
        </w:tc>
      </w:tr>
      <w:tr>
        <w:tc>
          <w:tcPr/>
          <w:p>
            <w:pPr>
              <w:pStyle w:val="Compact"/>
              <w:jc w:val="left"/>
            </w:pPr>
            <w:r>
              <w:rPr>
                <w:lang w:val="en"/>
              </w:rPr>
              <w:t xml:space="preserve">Black carbon</w:t>
            </w:r>
          </w:p>
        </w:tc>
        <w:tc>
          <w:tcPr/>
          <w:p>
            <w:pPr>
              <w:pStyle w:val="Compact"/>
              <w:jc w:val="left"/>
            </w:pPr>
            <w:r>
              <w:rPr>
                <w:lang w:val="en"/>
              </w:rPr>
              <w:t xml:space="preserve">BC</w:t>
            </w:r>
          </w:p>
        </w:tc>
        <w:tc>
          <w:tcPr/>
          <w:p>
            <w:pPr>
              <w:pStyle w:val="Compact"/>
              <w:jc w:val="left"/>
            </w:pPr>
            <w:r>
              <w:rPr>
                <w:lang w:val="en"/>
              </w:rPr>
              <w:t xml:space="preserve">Arctic warming, health</w:t>
            </w:r>
          </w:p>
        </w:tc>
        <w:tc>
          <w:tcPr/>
          <w:p>
            <w:pPr>
              <w:pStyle w:val="Compact"/>
              <w:jc w:val="left"/>
            </w:pPr>
            <w:r>
              <w:rPr>
                <w:lang w:val="en"/>
              </w:rPr>
              <w:t xml:space="preserve">Operational measures</w:t>
            </w:r>
          </w:p>
        </w:tc>
      </w:tr>
    </w:tbl>
    <w:p>
      <w:pPr>
        <w:pStyle w:val="BodyText"/>
      </w:pPr>
      <w:r>
        <w:rPr>
          <w:lang w:val="en"/>
        </w:rPr>
        <w:t xml:space="preserve">¶2</w:t>
      </w:r>
      <w:r>
        <w:rPr>
          <w:lang w:val="en"/>
        </w:rPr>
        <w:t xml:space="preserve"> </w:t>
      </w:r>
      <w:r>
        <w:rPr>
          <w:lang w:val="en"/>
        </w:rPr>
        <w:t xml:space="preserve">IMO MARPOL Annex VI regulates these emissions and has established Emission Control Areas. The 2020 global sulphur cap of 0.50 per cent m/m has had a material effect on fuel composition and emissions profiles that should be reflected in time series accounts.</w:t>
      </w:r>
      <w:hyperlink w:anchor="user-content-fn-26">
        <w:r>
          <w:rPr>
            <w:rStyle w:val="Hyperlink"/>
            <w:vertAlign w:val="superscript"/>
            <w:lang w:val="en"/>
          </w:rPr>
          <w:t xml:space="preserve">31</w:t>
        </w:r>
      </w:hyperlink>
    </w:p>
    <w:p>
      <w:pPr>
        <w:pStyle w:val="BodyText"/>
      </w:pPr>
      <w:r>
        <w:rPr>
          <w:lang w:val="en"/>
        </w:rPr>
        <w:t xml:space="preserve">¶3</w:t>
      </w:r>
      <w:r>
        <w:rPr>
          <w:lang w:val="en"/>
        </w:rPr>
        <w:t xml:space="preserve"> </w:t>
      </w:r>
      <w:r>
        <w:rPr>
          <w:lang w:val="en"/>
        </w:rPr>
        <w:t xml:space="preserve">For linkage to health impacts, see</w:t>
      </w:r>
      <w:r>
        <w:rPr>
          <w:lang w:val="en"/>
        </w:rPr>
        <w:t xml:space="preserve"> </w:t>
      </w:r>
      <w:hyperlink r:id="rId90">
        <w:r>
          <w:rPr>
            <w:rStyle w:val="Hyperlink"/>
            <w:bCs/>
            <w:b/>
            <w:lang w:val="en"/>
          </w:rPr>
          <w:t xml:space="preserve">TG-2.7 Pollution and Other Flows</w:t>
        </w:r>
      </w:hyperlink>
      <w:r>
        <w:rPr>
          <w:lang w:val="en"/>
        </w:rPr>
        <w:t xml:space="preserve">. For integration of shipping GHG emissions into national climate indicator frameworks, see</w:t>
      </w:r>
      <w:r>
        <w:rPr>
          <w:lang w:val="en"/>
        </w:rPr>
        <w:t xml:space="preserve"> </w:t>
      </w:r>
      <w:hyperlink r:id="rId37">
        <w:r>
          <w:rPr>
            <w:rStyle w:val="Hyperlink"/>
            <w:bCs/>
            <w:b/>
            <w:lang w:val="en"/>
          </w:rPr>
          <w:t xml:space="preserve">TG-2.8 Climate Indicators</w:t>
        </w:r>
      </w:hyperlink>
      <w:r>
        <w:rPr>
          <w:lang w:val="en"/>
        </w:rPr>
        <w:t xml:space="preserve">.</w:t>
      </w:r>
    </w:p>
    <w:bookmarkStart w:id="93" w:name="X47c558e4e8125d99a4c05132ebee2aa5cd53ea5"/>
    <w:p>
      <w:pPr>
        <w:pStyle w:val="Heading4"/>
      </w:pPr>
      <w:r>
        <w:rPr>
          <w:lang w:val="en"/>
        </w:rPr>
        <w:t xml:space="preserve">3.3.3</w:t>
      </w:r>
      <w:r>
        <w:rPr>
          <w:lang w:val="en"/>
        </w:rPr>
        <w:t xml:space="preserve"> </w:t>
      </w:r>
      <w:r>
        <w:rPr>
          <w:lang w:val="en"/>
        </w:rPr>
        <w:t xml:space="preserve">Underwater Noise</w:t>
      </w:r>
    </w:p>
    <w:p>
      <w:pPr>
        <w:pStyle w:val="FirstParagraph"/>
      </w:pPr>
      <w:hyperlink w:anchor="X47c558e4e8125d99a4c05132ebee2aa5cd53ea5">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Underwater Noise”</w:t>
        </w:r>
      </w:hyperlink>
    </w:p>
    <w:bookmarkEnd w:id="93"/>
    <w:p>
      <w:pPr>
        <w:pStyle w:val="BodyText"/>
      </w:pPr>
      <w:r>
        <w:rPr>
          <w:lang w:val="en"/>
        </w:rPr>
        <w:t xml:space="preserve">¶1</w:t>
      </w:r>
      <w:r>
        <w:rPr>
          <w:lang w:val="en"/>
        </w:rPr>
        <w:t xml:space="preserve"> </w:t>
      </w:r>
      <w:r>
        <w:rPr>
          <w:lang w:val="en"/>
        </w:rPr>
        <w:t xml:space="preserve">Shipping is a major source of chronic underwater noise pollution, particularly at low frequencies (10—1000 Hz) that overlap with marine mammal communication bands.</w:t>
      </w:r>
      <w:hyperlink w:anchor="user-content-fn-27">
        <w:r>
          <w:rPr>
            <w:rStyle w:val="Hyperlink"/>
            <w:vertAlign w:val="superscript"/>
            <w:lang w:val="en"/>
          </w:rPr>
          <w:t xml:space="preserve">32</w:t>
        </w:r>
      </w:hyperlink>
    </w:p>
    <w:p>
      <w:pPr>
        <w:pStyle w:val="BodyText"/>
      </w:pPr>
      <w:r>
        <w:rPr>
          <w:lang w:val="en"/>
        </w:rPr>
        <w:t xml:space="preserve">¶2</w:t>
      </w:r>
      <w:r>
        <w:rPr>
          <w:lang w:val="en"/>
        </w:rPr>
        <w:t xml:space="preserve"> </w:t>
      </w:r>
      <w:r>
        <w:rPr>
          <w:lang w:val="en"/>
        </w:rPr>
        <w:t xml:space="preserve">Noise emissions can be characterised by:</w:t>
      </w:r>
    </w:p>
    <w:p>
      <w:pPr>
        <w:numPr>
          <w:ilvl w:val="0"/>
          <w:numId w:val="1013"/>
        </w:numPr>
        <w:pStyle w:val="Compact"/>
      </w:pPr>
      <w:r>
        <w:rPr>
          <w:lang w:val="en"/>
        </w:rPr>
        <w:t xml:space="preserve">¶3</w:t>
      </w:r>
      <w:r>
        <w:rPr>
          <w:lang w:val="en"/>
        </w:rPr>
        <w:t xml:space="preserve"> </w:t>
      </w:r>
      <w:r>
        <w:rPr>
          <w:bCs/>
          <w:b/>
          <w:lang w:val="en"/>
        </w:rPr>
        <w:t xml:space="preserve">Source level</w:t>
      </w:r>
      <w:r>
        <w:rPr>
          <w:lang w:val="en"/>
        </w:rPr>
        <w:t xml:space="preserve"> </w:t>
      </w:r>
      <w:r>
        <w:rPr>
          <w:lang w:val="en"/>
        </w:rPr>
        <w:t xml:space="preserve">(dB re 1 microPa at 1 m)</w:t>
      </w:r>
    </w:p>
    <w:p>
      <w:pPr>
        <w:numPr>
          <w:ilvl w:val="0"/>
          <w:numId w:val="1013"/>
        </w:numPr>
        <w:pStyle w:val="Compact"/>
      </w:pPr>
      <w:r>
        <w:rPr>
          <w:lang w:val="en"/>
        </w:rPr>
        <w:t xml:space="preserve">¶4</w:t>
      </w:r>
      <w:r>
        <w:rPr>
          <w:lang w:val="en"/>
        </w:rPr>
        <w:t xml:space="preserve"> </w:t>
      </w:r>
      <w:r>
        <w:rPr>
          <w:bCs/>
          <w:b/>
          <w:lang w:val="en"/>
        </w:rPr>
        <w:t xml:space="preserve">Frequency spectrum</w:t>
      </w:r>
    </w:p>
    <w:p>
      <w:pPr>
        <w:numPr>
          <w:ilvl w:val="0"/>
          <w:numId w:val="1013"/>
        </w:numPr>
        <w:pStyle w:val="Compact"/>
      </w:pPr>
      <w:r>
        <w:rPr>
          <w:lang w:val="en"/>
        </w:rPr>
        <w:t xml:space="preserve">¶5</w:t>
      </w:r>
      <w:r>
        <w:rPr>
          <w:lang w:val="en"/>
        </w:rPr>
        <w:t xml:space="preserve"> </w:t>
      </w:r>
      <w:r>
        <w:rPr>
          <w:bCs/>
          <w:b/>
          <w:lang w:val="en"/>
        </w:rPr>
        <w:t xml:space="preserve">Temporal patterns</w:t>
      </w:r>
      <w:r>
        <w:rPr>
          <w:lang w:val="en"/>
        </w:rPr>
        <w:t xml:space="preserve"> </w:t>
      </w:r>
      <w:r>
        <w:rPr>
          <w:lang w:val="en"/>
        </w:rPr>
        <w:t xml:space="preserve">(continuous vs. intermittent)</w:t>
      </w:r>
    </w:p>
    <w:p>
      <w:pPr>
        <w:pStyle w:val="FirstParagraph"/>
      </w:pPr>
      <w:r>
        <w:rPr>
          <w:lang w:val="en"/>
        </w:rPr>
        <w:t xml:space="preserve">¶6</w:t>
      </w:r>
      <w:r>
        <w:rPr>
          <w:lang w:val="en"/>
        </w:rPr>
        <w:t xml:space="preserve"> </w:t>
      </w:r>
      <w:r>
        <w:rPr>
          <w:lang w:val="en"/>
        </w:rPr>
        <w:t xml:space="preserve">Accounting for underwater noise requires:</w:t>
      </w:r>
    </w:p>
    <w:p>
      <w:pPr>
        <w:numPr>
          <w:ilvl w:val="0"/>
          <w:numId w:val="1014"/>
        </w:numPr>
        <w:pStyle w:val="Compact"/>
      </w:pPr>
      <w:r>
        <w:rPr>
          <w:lang w:val="en"/>
        </w:rPr>
        <w:t xml:space="preserve">¶7</w:t>
      </w:r>
      <w:r>
        <w:rPr>
          <w:lang w:val="en"/>
        </w:rPr>
        <w:t xml:space="preserve"> </w:t>
      </w:r>
      <w:r>
        <w:rPr>
          <w:lang w:val="en"/>
        </w:rPr>
        <w:t xml:space="preserve">Vessel traffic density data (AIS)</w:t>
      </w:r>
    </w:p>
    <w:p>
      <w:pPr>
        <w:numPr>
          <w:ilvl w:val="0"/>
          <w:numId w:val="1014"/>
        </w:numPr>
        <w:pStyle w:val="Compact"/>
      </w:pPr>
      <w:r>
        <w:rPr>
          <w:lang w:val="en"/>
        </w:rPr>
        <w:t xml:space="preserve">¶8</w:t>
      </w:r>
      <w:r>
        <w:rPr>
          <w:lang w:val="en"/>
        </w:rPr>
        <w:t xml:space="preserve"> </w:t>
      </w:r>
      <w:r>
        <w:rPr>
          <w:lang w:val="en"/>
        </w:rPr>
        <w:t xml:space="preserve">Source level models by vessel type and speed</w:t>
      </w:r>
    </w:p>
    <w:p>
      <w:pPr>
        <w:numPr>
          <w:ilvl w:val="0"/>
          <w:numId w:val="1014"/>
        </w:numPr>
        <w:pStyle w:val="Compact"/>
      </w:pPr>
      <w:r>
        <w:rPr>
          <w:lang w:val="en"/>
        </w:rPr>
        <w:t xml:space="preserve">¶9</w:t>
      </w:r>
      <w:r>
        <w:rPr>
          <w:lang w:val="en"/>
        </w:rPr>
        <w:t xml:space="preserve"> </w:t>
      </w:r>
      <w:r>
        <w:rPr>
          <w:lang w:val="en"/>
        </w:rPr>
        <w:t xml:space="preserve">Propagation modelling for spatial distribution</w:t>
      </w:r>
    </w:p>
    <w:p>
      <w:pPr>
        <w:numPr>
          <w:ilvl w:val="0"/>
          <w:numId w:val="1014"/>
        </w:numPr>
        <w:pStyle w:val="Compact"/>
      </w:pPr>
      <w:r>
        <w:rPr>
          <w:lang w:val="en"/>
        </w:rPr>
        <w:t xml:space="preserve">¶10</w:t>
      </w:r>
      <w:r>
        <w:rPr>
          <w:lang w:val="en"/>
        </w:rPr>
        <w:t xml:space="preserve"> </w:t>
      </w:r>
      <w:r>
        <w:rPr>
          <w:lang w:val="en"/>
        </w:rPr>
        <w:t xml:space="preserve">Overlay with sensitive habitats and species distributions</w:t>
      </w:r>
    </w:p>
    <w:p>
      <w:pPr>
        <w:pStyle w:val="FirstParagraph"/>
      </w:pPr>
      <w:r>
        <w:rPr>
          <w:lang w:val="en"/>
        </w:rPr>
        <w:t xml:space="preserve">¶11</w:t>
      </w:r>
      <w:r>
        <w:rPr>
          <w:lang w:val="en"/>
        </w:rPr>
        <w:t xml:space="preserve"> </w:t>
      </w:r>
      <w:r>
        <w:rPr>
          <w:lang w:val="en"/>
        </w:rPr>
        <w:t xml:space="preserve">Underwater noise accounting is an emerging area where data availability and standardised methods remain under development. The IMO Guidelines for the Reduction of Underwater Noise from Commercial Shipping (MEPC.1/Circ.833) provide a voluntary framework, whilst regional initiatives such as JOMOPANS are developing monitoring methodologies.</w:t>
      </w:r>
      <w:hyperlink w:anchor="user-content-fn-28">
        <w:r>
          <w:rPr>
            <w:rStyle w:val="Hyperlink"/>
            <w:vertAlign w:val="superscript"/>
            <w:lang w:val="en"/>
          </w:rPr>
          <w:t xml:space="preserve">33</w:t>
        </w:r>
      </w:hyperlink>
      <w:r>
        <w:rPr>
          <w:lang w:val="en"/>
        </w:rPr>
        <w:t xml:space="preserve"> </w:t>
      </w:r>
      <w:r>
        <w:rPr>
          <w:lang w:val="en"/>
        </w:rPr>
        <w:t xml:space="preserve">Compilers should record noise indicators where feasible and note limitations in metadata. For linkage to ecosystem condition assessment, see</w:t>
      </w:r>
      <w:r>
        <w:rPr>
          <w:lang w:val="en"/>
        </w:rPr>
        <w:t xml:space="preserve"> </w:t>
      </w:r>
      <w:hyperlink r:id="rId94">
        <w:r>
          <w:rPr>
            <w:rStyle w:val="Hyperlink"/>
            <w:bCs/>
            <w:b/>
            <w:lang w:val="en"/>
          </w:rPr>
          <w:t xml:space="preserve">TG-2.1 Biophysical Indicators</w:t>
        </w:r>
      </w:hyperlink>
      <w:r>
        <w:rPr>
          <w:lang w:val="en"/>
        </w:rPr>
        <w:t xml:space="preserve">.</w:t>
      </w:r>
    </w:p>
    <w:p>
      <w:r>
        <w:pict>
          <v:rect style="width:0;height:1.5pt" o:hralign="center" o:hrstd="t" o:hr="t"/>
        </w:pict>
      </w:r>
    </w:p>
    <w:bookmarkStart w:id="97" w:name="X0a9cd5dada75a390455e18e0fb197bcacb46c10"/>
    <w:p>
      <w:pPr>
        <w:pStyle w:val="Heading3"/>
      </w:pPr>
      <w:r>
        <w:rPr>
          <w:lang w:val="en"/>
        </w:rPr>
        <w:t xml:space="preserve">3.4</w:t>
      </w:r>
      <w:r>
        <w:rPr>
          <w:lang w:val="en"/>
        </w:rPr>
        <w:t xml:space="preserve"> </w:t>
      </w:r>
      <w:r>
        <w:rPr>
          <w:lang w:val="en"/>
        </w:rPr>
        <w:t xml:space="preserve">Economic Measurement</w:t>
      </w:r>
    </w:p>
    <w:p>
      <w:pPr>
        <w:pStyle w:val="FirstParagraph"/>
      </w:pPr>
      <w:hyperlink w:anchor="X0a9cd5dada75a390455e18e0fb197bcacb46c10">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Economic Measurement”</w:t>
        </w:r>
      </w:hyperlink>
    </w:p>
    <w:bookmarkEnd w:id="97"/>
    <w:bookmarkStart w:id="100" w:name="X882884f1e185495e7a92374d67bc4028025c2a1"/>
    <w:p>
      <w:pPr>
        <w:pStyle w:val="Heading4"/>
      </w:pPr>
      <w:r>
        <w:rPr>
          <w:lang w:val="en"/>
        </w:rPr>
        <w:t xml:space="preserve">3.4.1</w:t>
      </w:r>
      <w:r>
        <w:rPr>
          <w:lang w:val="en"/>
        </w:rPr>
        <w:t xml:space="preserve"> </w:t>
      </w:r>
      <w:r>
        <w:rPr>
          <w:lang w:val="en"/>
        </w:rPr>
        <w:t xml:space="preserve">Value Added</w:t>
      </w:r>
    </w:p>
    <w:p>
      <w:pPr>
        <w:pStyle w:val="FirstParagraph"/>
      </w:pPr>
      <w:hyperlink w:anchor="X882884f1e185495e7a92374d67bc4028025c2a1">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Value Added”</w:t>
        </w:r>
      </w:hyperlink>
    </w:p>
    <w:bookmarkEnd w:id="100"/>
    <w:p>
      <w:pPr>
        <w:pStyle w:val="BodyText"/>
      </w:pPr>
      <w:r>
        <w:rPr>
          <w:lang w:val="en"/>
        </w:rPr>
        <w:t xml:space="preserve">¶1</w:t>
      </w:r>
      <w:r>
        <w:rPr>
          <w:lang w:val="en"/>
        </w:rPr>
        <w:t xml:space="preserve"> </w:t>
      </w:r>
      <w:r>
        <w:rPr>
          <w:lang w:val="en"/>
        </w:rPr>
        <w:t xml:space="preserve">Maritime transport value added is calculated according to SNA 2025 principles:</w:t>
      </w:r>
      <w:hyperlink w:anchor="user-content-fn-29">
        <w:r>
          <w:rPr>
            <w:rStyle w:val="Hyperlink"/>
            <w:vertAlign w:val="superscript"/>
            <w:lang w:val="en"/>
          </w:rPr>
          <w:t xml:space="preserve">34</w:t>
        </w:r>
      </w:hyperlink>
    </w:p>
    <w:p>
      <w:pPr>
        <w:pStyle w:val="BodyText"/>
      </w:pPr>
      <w:r>
        <w:rPr>
          <w:lang w:val="en"/>
        </w:rPr>
        <w:t xml:space="preserve">¶2</w:t>
      </w:r>
      <w:r>
        <w:rPr>
          <w:lang w:val="en"/>
        </w:rPr>
        <w:t xml:space="preserve"> </w:t>
      </w:r>
      <w:r>
        <w:rPr>
          <w:bCs/>
          <w:b/>
          <w:lang w:val="en"/>
        </w:rPr>
        <w:t xml:space="preserve">Gross Value Added (GVA)</w:t>
      </w:r>
      <w:r>
        <w:rPr>
          <w:lang w:val="en"/>
        </w:rPr>
        <w:t xml:space="preserve"> </w:t>
      </w:r>
      <w:r>
        <w:rPr>
          <w:lang w:val="en"/>
        </w:rPr>
        <w:t xml:space="preserve">= Output — Intermediate Consumption</w:t>
      </w:r>
    </w:p>
    <w:p>
      <w:pPr>
        <w:pStyle w:val="BodyText"/>
      </w:pPr>
      <w:r>
        <w:rPr>
          <w:lang w:val="en"/>
        </w:rPr>
        <w:t xml:space="preserve">¶3</w:t>
      </w:r>
      <w:r>
        <w:rPr>
          <w:lang w:val="en"/>
        </w:rPr>
        <w:t xml:space="preserve"> </w:t>
      </w:r>
      <w:r>
        <w:rPr>
          <w:lang w:val="en"/>
        </w:rPr>
        <w:t xml:space="preserve">For maritime transport industries (ISIC 50, 5222):</w:t>
      </w:r>
    </w:p>
    <w:p>
      <w:pPr>
        <w:numPr>
          <w:ilvl w:val="0"/>
          <w:numId w:val="1015"/>
        </w:numPr>
        <w:pStyle w:val="Compact"/>
      </w:pPr>
      <w:r>
        <w:rPr>
          <w:lang w:val="en"/>
        </w:rPr>
        <w:t xml:space="preserve">¶4</w:t>
      </w:r>
      <w:r>
        <w:rPr>
          <w:lang w:val="en"/>
        </w:rPr>
        <w:t xml:space="preserve"> </w:t>
      </w:r>
      <w:r>
        <w:rPr>
          <w:bCs/>
          <w:b/>
          <w:lang w:val="en"/>
        </w:rPr>
        <w:t xml:space="preserve">Output</w:t>
      </w:r>
      <w:r>
        <w:rPr>
          <w:lang w:val="en"/>
        </w:rPr>
        <w:t xml:space="preserve"> </w:t>
      </w:r>
      <w:r>
        <w:rPr>
          <w:lang w:val="en"/>
        </w:rPr>
        <w:t xml:space="preserve">= Freight revenue + passenger revenue + charter income + ancillary services</w:t>
      </w:r>
    </w:p>
    <w:p>
      <w:pPr>
        <w:numPr>
          <w:ilvl w:val="0"/>
          <w:numId w:val="1015"/>
        </w:numPr>
        <w:pStyle w:val="Compact"/>
      </w:pPr>
      <w:r>
        <w:rPr>
          <w:lang w:val="en"/>
        </w:rPr>
        <w:t xml:space="preserve">¶5</w:t>
      </w:r>
      <w:r>
        <w:rPr>
          <w:lang w:val="en"/>
        </w:rPr>
        <w:t xml:space="preserve"> </w:t>
      </w:r>
      <w:r>
        <w:rPr>
          <w:bCs/>
          <w:b/>
          <w:lang w:val="en"/>
        </w:rPr>
        <w:t xml:space="preserve">Intermediate consumption</w:t>
      </w:r>
      <w:r>
        <w:rPr>
          <w:lang w:val="en"/>
        </w:rPr>
        <w:t xml:space="preserve"> </w:t>
      </w:r>
      <w:r>
        <w:rPr>
          <w:lang w:val="en"/>
        </w:rPr>
        <w:t xml:space="preserve">= Fuel, port fees, insurance, maintenance, provisions</w:t>
      </w:r>
    </w:p>
    <w:p>
      <w:pPr>
        <w:pStyle w:val="FirstParagraph"/>
      </w:pPr>
      <w:r>
        <w:rPr>
          <w:lang w:val="en"/>
        </w:rPr>
        <w:t xml:space="preserve">¶6</w:t>
      </w:r>
      <w:r>
        <w:rPr>
          <w:lang w:val="en"/>
        </w:rPr>
        <w:t xml:space="preserve"> </w:t>
      </w:r>
      <w:r>
        <w:rPr>
          <w:bCs/>
          <w:b/>
          <w:lang w:val="en"/>
        </w:rPr>
        <w:t xml:space="preserve">Net Value Added</w:t>
      </w:r>
      <w:r>
        <w:rPr>
          <w:lang w:val="en"/>
        </w:rPr>
        <w:t xml:space="preserve"> </w:t>
      </w:r>
      <w:r>
        <w:rPr>
          <w:lang w:val="en"/>
        </w:rPr>
        <w:t xml:space="preserve">= GVA — Depreciation</w:t>
      </w:r>
    </w:p>
    <w:p>
      <w:pPr>
        <w:pStyle w:val="BodyText"/>
      </w:pPr>
      <w:r>
        <w:rPr>
          <w:lang w:val="en"/>
        </w:rPr>
        <w:t xml:space="preserve">¶7</w:t>
      </w:r>
      <w:r>
        <w:rPr>
          <w:lang w:val="en"/>
        </w:rPr>
        <w:t xml:space="preserve"> </w:t>
      </w:r>
      <w:r>
        <w:rPr>
          <w:bCs/>
          <w:b/>
          <w:lang w:val="en"/>
        </w:rPr>
        <w:t xml:space="preserve">Illustrative calculation structure: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Component</w:t>
            </w:r>
          </w:p>
        </w:tc>
        <w:tc>
          <w:tcPr/>
          <w:p>
            <w:pPr>
              <w:pStyle w:val="Compact"/>
              <w:jc w:val="left"/>
            </w:pPr>
            <w:r>
              <w:rPr>
                <w:lang w:val="en"/>
              </w:rPr>
              <w:t xml:space="preserve">ISIC 501</w:t>
            </w:r>
          </w:p>
        </w:tc>
        <w:tc>
          <w:tcPr/>
          <w:p>
            <w:pPr>
              <w:pStyle w:val="Compact"/>
              <w:jc w:val="left"/>
            </w:pPr>
            <w:r>
              <w:rPr>
                <w:lang w:val="en"/>
              </w:rPr>
              <w:t xml:space="preserve">ISIC 502</w:t>
            </w:r>
          </w:p>
        </w:tc>
        <w:tc>
          <w:tcPr/>
          <w:p>
            <w:pPr>
              <w:pStyle w:val="Compact"/>
              <w:jc w:val="left"/>
            </w:pPr>
            <w:r>
              <w:rPr>
                <w:lang w:val="en"/>
              </w:rPr>
              <w:t xml:space="preserve">ISIC 5222</w:t>
            </w:r>
          </w:p>
        </w:tc>
        <w:tc>
          <w:tcPr/>
          <w:p>
            <w:pPr>
              <w:pStyle w:val="Compact"/>
              <w:jc w:val="left"/>
            </w:pPr>
            <w:r>
              <w:rPr>
                <w:lang w:val="en"/>
              </w:rPr>
              <w:t xml:space="preserve">Total Maritime</w:t>
            </w:r>
          </w:p>
        </w:tc>
      </w:tr>
      <w:tr>
        <w:tc>
          <w:tcPr/>
          <w:p>
            <w:pPr>
              <w:pStyle w:val="Compact"/>
              <w:jc w:val="left"/>
            </w:pPr>
            <w:r>
              <w:rPr>
                <w:lang w:val="en"/>
              </w:rPr>
              <w:t xml:space="preserve">Output (P.1)</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[sum]</w:t>
            </w:r>
          </w:p>
        </w:tc>
      </w:tr>
      <w:tr>
        <w:tc>
          <w:tcPr/>
          <w:p>
            <w:pPr>
              <w:pStyle w:val="Compact"/>
              <w:jc w:val="left"/>
            </w:pPr>
            <w:r>
              <w:rPr>
                <w:lang w:val="en"/>
              </w:rPr>
              <w:t xml:space="preserve">Intermediate consumption (P.2)</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[sum]</w:t>
            </w:r>
          </w:p>
        </w:tc>
      </w:tr>
      <w:tr>
        <w:tc>
          <w:tcPr/>
          <w:p>
            <w:pPr>
              <w:pStyle w:val="Compact"/>
              <w:jc w:val="left"/>
            </w:pPr>
            <w:r>
              <w:rPr>
                <w:lang w:val="en"/>
              </w:rPr>
              <w:t xml:space="preserve">GVA (B.1g)</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[sum]</w:t>
            </w:r>
          </w:p>
        </w:tc>
      </w:tr>
      <w:tr>
        <w:tc>
          <w:tcPr/>
          <w:p>
            <w:pPr>
              <w:pStyle w:val="Compact"/>
              <w:jc w:val="left"/>
            </w:pPr>
            <w:r>
              <w:rPr>
                <w:lang w:val="en"/>
              </w:rPr>
              <w:t xml:space="preserve">Depreciation (P.51c)</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[sum]</w:t>
            </w:r>
          </w:p>
        </w:tc>
      </w:tr>
      <w:tr>
        <w:tc>
          <w:tcPr/>
          <w:p>
            <w:pPr>
              <w:pStyle w:val="Compact"/>
              <w:jc w:val="left"/>
            </w:pPr>
            <w:r>
              <w:rPr>
                <w:lang w:val="en"/>
              </w:rPr>
              <w:t xml:space="preserve">NVA (B.1n)</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[sum]</w:t>
            </w:r>
          </w:p>
        </w:tc>
      </w:tr>
    </w:tbl>
    <w:p>
      <w:pPr>
        <w:pStyle w:val="BodyText"/>
      </w:pPr>
      <w:r>
        <w:rPr>
          <w:lang w:val="en"/>
        </w:rPr>
        <w:t xml:space="preserve">¶8</w:t>
      </w:r>
      <w:r>
        <w:rPr>
          <w:lang w:val="en"/>
        </w:rPr>
        <w:t xml:space="preserve"> </w:t>
      </w:r>
      <w:r>
        <w:rPr>
          <w:lang w:val="en"/>
        </w:rPr>
        <w:t xml:space="preserve">For countries with material transshipment activity, care should be taken to correctly attribute output to resident enterprises, consistent with the balance of payments treatment of freight transport described in BPM6.</w:t>
      </w:r>
    </w:p>
    <w:bookmarkStart w:id="103" w:name="X34340794aa595d9c82350e1d14b005b10d7a025"/>
    <w:p>
      <w:pPr>
        <w:pStyle w:val="Heading4"/>
      </w:pPr>
      <w:r>
        <w:rPr>
          <w:lang w:val="en"/>
        </w:rPr>
        <w:t xml:space="preserve">3.4.2</w:t>
      </w:r>
      <w:r>
        <w:rPr>
          <w:lang w:val="en"/>
        </w:rPr>
        <w:t xml:space="preserve"> </w:t>
      </w:r>
      <w:r>
        <w:rPr>
          <w:lang w:val="en"/>
        </w:rPr>
        <w:t xml:space="preserve">Employment</w:t>
      </w:r>
    </w:p>
    <w:p>
      <w:pPr>
        <w:pStyle w:val="FirstParagraph"/>
      </w:pPr>
      <w:hyperlink w:anchor="X34340794aa595d9c82350e1d14b005b10d7a025">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Employment”</w:t>
        </w:r>
      </w:hyperlink>
    </w:p>
    <w:bookmarkEnd w:id="103"/>
    <w:p>
      <w:pPr>
        <w:pStyle w:val="BodyText"/>
      </w:pPr>
      <w:r>
        <w:rPr>
          <w:lang w:val="en"/>
        </w:rPr>
        <w:t xml:space="preserve">¶1</w:t>
      </w:r>
      <w:r>
        <w:rPr>
          <w:lang w:val="en"/>
        </w:rPr>
        <w:t xml:space="preserve"> </w:t>
      </w:r>
      <w:r>
        <w:rPr>
          <w:lang w:val="en"/>
        </w:rPr>
        <w:t xml:space="preserve">Employment in maritime transport includes:</w:t>
      </w:r>
      <w:hyperlink w:anchor="user-content-fn-30">
        <w:r>
          <w:rPr>
            <w:rStyle w:val="Hyperlink"/>
            <w:vertAlign w:val="superscript"/>
            <w:lang w:val="en"/>
          </w:rPr>
          <w:t xml:space="preserve">35</w:t>
        </w:r>
      </w:hyperlink>
    </w:p>
    <w:p>
      <w:pPr>
        <w:pStyle w:val="BodyText"/>
      </w:pPr>
      <w:r>
        <w:rPr>
          <w:lang w:val="en"/>
        </w:rPr>
        <w:t xml:space="preserve">¶2</w:t>
      </w:r>
      <w:r>
        <w:rPr>
          <w:lang w:val="en"/>
        </w:rPr>
        <w:t xml:space="preserve"> </w:t>
      </w:r>
      <w:r>
        <w:rPr>
          <w:bCs/>
          <w:b/>
          <w:lang w:val="en"/>
        </w:rPr>
        <w:t xml:space="preserve">Seafarers:</w:t>
      </w:r>
    </w:p>
    <w:p>
      <w:pPr>
        <w:numPr>
          <w:ilvl w:val="0"/>
          <w:numId w:val="1016"/>
        </w:numPr>
        <w:pStyle w:val="Compact"/>
      </w:pPr>
      <w:r>
        <w:rPr>
          <w:lang w:val="en"/>
        </w:rPr>
        <w:t xml:space="preserve">¶3</w:t>
      </w:r>
      <w:r>
        <w:rPr>
          <w:lang w:val="en"/>
        </w:rPr>
        <w:t xml:space="preserve"> </w:t>
      </w:r>
      <w:r>
        <w:rPr>
          <w:lang w:val="en"/>
        </w:rPr>
        <w:t xml:space="preserve">Officers and ratings on commercial vessels</w:t>
      </w:r>
    </w:p>
    <w:p>
      <w:pPr>
        <w:numPr>
          <w:ilvl w:val="0"/>
          <w:numId w:val="1016"/>
        </w:numPr>
        <w:pStyle w:val="Compact"/>
      </w:pPr>
      <w:r>
        <w:rPr>
          <w:lang w:val="en"/>
        </w:rPr>
        <w:t xml:space="preserve">¶4</w:t>
      </w:r>
      <w:r>
        <w:rPr>
          <w:lang w:val="en"/>
        </w:rPr>
        <w:t xml:space="preserve"> </w:t>
      </w:r>
      <w:r>
        <w:rPr>
          <w:lang w:val="en"/>
        </w:rPr>
        <w:t xml:space="preserve">Measured by nationality (flag state vs. residence state considerations)</w:t>
      </w:r>
    </w:p>
    <w:p>
      <w:pPr>
        <w:pStyle w:val="FirstParagraph"/>
      </w:pPr>
      <w:r>
        <w:rPr>
          <w:lang w:val="en"/>
        </w:rPr>
        <w:t xml:space="preserve">¶5</w:t>
      </w:r>
      <w:r>
        <w:rPr>
          <w:lang w:val="en"/>
        </w:rPr>
        <w:t xml:space="preserve"> </w:t>
      </w:r>
      <w:r>
        <w:rPr>
          <w:bCs/>
          <w:b/>
          <w:lang w:val="en"/>
        </w:rPr>
        <w:t xml:space="preserve">Shore-based employment:</w:t>
      </w:r>
    </w:p>
    <w:p>
      <w:pPr>
        <w:numPr>
          <w:ilvl w:val="0"/>
          <w:numId w:val="1017"/>
        </w:numPr>
        <w:pStyle w:val="Compact"/>
      </w:pPr>
      <w:r>
        <w:rPr>
          <w:lang w:val="en"/>
        </w:rPr>
        <w:t xml:space="preserve">¶6</w:t>
      </w:r>
      <w:r>
        <w:rPr>
          <w:lang w:val="en"/>
        </w:rPr>
        <w:t xml:space="preserve"> </w:t>
      </w:r>
      <w:r>
        <w:rPr>
          <w:lang w:val="en"/>
        </w:rPr>
        <w:t xml:space="preserve">Port workers (stevedores, crane operators)</w:t>
      </w:r>
    </w:p>
    <w:p>
      <w:pPr>
        <w:numPr>
          <w:ilvl w:val="0"/>
          <w:numId w:val="1017"/>
        </w:numPr>
        <w:pStyle w:val="Compact"/>
      </w:pPr>
      <w:r>
        <w:rPr>
          <w:lang w:val="en"/>
        </w:rPr>
        <w:t xml:space="preserve">¶7</w:t>
      </w:r>
      <w:r>
        <w:rPr>
          <w:lang w:val="en"/>
        </w:rPr>
        <w:t xml:space="preserve"> </w:t>
      </w:r>
      <w:r>
        <w:rPr>
          <w:lang w:val="en"/>
        </w:rPr>
        <w:t xml:space="preserve">Port authority and maritime agency staff</w:t>
      </w:r>
    </w:p>
    <w:p>
      <w:pPr>
        <w:numPr>
          <w:ilvl w:val="0"/>
          <w:numId w:val="1017"/>
        </w:numPr>
        <w:pStyle w:val="Compact"/>
      </w:pPr>
      <w:r>
        <w:rPr>
          <w:lang w:val="en"/>
        </w:rPr>
        <w:t xml:space="preserve">¶8</w:t>
      </w:r>
      <w:r>
        <w:rPr>
          <w:lang w:val="en"/>
        </w:rPr>
        <w:t xml:space="preserve"> </w:t>
      </w:r>
      <w:r>
        <w:rPr>
          <w:lang w:val="en"/>
        </w:rPr>
        <w:t xml:space="preserve">Ship agents, freight forwarders</w:t>
      </w:r>
    </w:p>
    <w:p>
      <w:pPr>
        <w:numPr>
          <w:ilvl w:val="0"/>
          <w:numId w:val="1017"/>
        </w:numPr>
        <w:pStyle w:val="Compact"/>
      </w:pPr>
      <w:r>
        <w:rPr>
          <w:lang w:val="en"/>
        </w:rPr>
        <w:t xml:space="preserve">¶9</w:t>
      </w:r>
      <w:r>
        <w:rPr>
          <w:lang w:val="en"/>
        </w:rPr>
        <w:t xml:space="preserve"> </w:t>
      </w:r>
      <w:r>
        <w:rPr>
          <w:lang w:val="en"/>
        </w:rPr>
        <w:t xml:space="preserve">Ship repair and maintenance workers</w:t>
      </w:r>
    </w:p>
    <w:p>
      <w:pPr>
        <w:pStyle w:val="FirstParagraph"/>
      </w:pPr>
      <w:r>
        <w:rPr>
          <w:lang w:val="en"/>
        </w:rPr>
        <w:t xml:space="preserve">¶10</w:t>
      </w:r>
      <w:r>
        <w:rPr>
          <w:lang w:val="en"/>
        </w:rPr>
        <w:t xml:space="preserve"> </w:t>
      </w:r>
      <w:r>
        <w:rPr>
          <w:lang w:val="en"/>
        </w:rPr>
        <w:t xml:space="preserve">Employment data should distinguish:</w:t>
      </w:r>
    </w:p>
    <w:p>
      <w:pPr>
        <w:numPr>
          <w:ilvl w:val="0"/>
          <w:numId w:val="1018"/>
        </w:numPr>
        <w:pStyle w:val="Compact"/>
      </w:pPr>
      <w:r>
        <w:rPr>
          <w:lang w:val="en"/>
        </w:rPr>
        <w:t xml:space="preserve">¶11</w:t>
      </w:r>
      <w:r>
        <w:rPr>
          <w:lang w:val="en"/>
        </w:rPr>
        <w:t xml:space="preserve"> </w:t>
      </w:r>
      <w:r>
        <w:rPr>
          <w:lang w:val="en"/>
        </w:rPr>
        <w:t xml:space="preserve">Number of persons employed</w:t>
      </w:r>
    </w:p>
    <w:p>
      <w:pPr>
        <w:numPr>
          <w:ilvl w:val="0"/>
          <w:numId w:val="1018"/>
        </w:numPr>
        <w:pStyle w:val="Compact"/>
      </w:pPr>
      <w:r>
        <w:rPr>
          <w:lang w:val="en"/>
        </w:rPr>
        <w:t xml:space="preserve">¶12</w:t>
      </w:r>
      <w:r>
        <w:rPr>
          <w:lang w:val="en"/>
        </w:rPr>
        <w:t xml:space="preserve"> </w:t>
      </w:r>
      <w:r>
        <w:rPr>
          <w:lang w:val="en"/>
        </w:rPr>
        <w:t xml:space="preserve">Full-time equivalents (FTEs)</w:t>
      </w:r>
    </w:p>
    <w:p>
      <w:pPr>
        <w:numPr>
          <w:ilvl w:val="0"/>
          <w:numId w:val="1018"/>
        </w:numPr>
        <w:pStyle w:val="Compact"/>
      </w:pPr>
      <w:r>
        <w:rPr>
          <w:lang w:val="en"/>
        </w:rPr>
        <w:t xml:space="preserve">¶13</w:t>
      </w:r>
      <w:r>
        <w:rPr>
          <w:lang w:val="en"/>
        </w:rPr>
        <w:t xml:space="preserve"> </w:t>
      </w:r>
      <w:r>
        <w:rPr>
          <w:lang w:val="en"/>
        </w:rPr>
        <w:t xml:space="preserve">Hours worked</w:t>
      </w:r>
    </w:p>
    <w:p>
      <w:pPr>
        <w:numPr>
          <w:ilvl w:val="0"/>
          <w:numId w:val="1018"/>
        </w:numPr>
        <w:pStyle w:val="Compact"/>
      </w:pPr>
      <w:r>
        <w:rPr>
          <w:lang w:val="en"/>
        </w:rPr>
        <w:t xml:space="preserve">¶14</w:t>
      </w:r>
      <w:r>
        <w:rPr>
          <w:lang w:val="en"/>
        </w:rPr>
        <w:t xml:space="preserve"> </w:t>
      </w:r>
      <w:r>
        <w:rPr>
          <w:lang w:val="en"/>
        </w:rPr>
        <w:t xml:space="preserve">Compensation of employees</w:t>
      </w:r>
    </w:p>
    <w:p>
      <w:pPr>
        <w:pStyle w:val="FirstParagraph"/>
      </w:pPr>
      <w:r>
        <w:rPr>
          <w:lang w:val="en"/>
        </w:rPr>
        <w:t xml:space="preserve">¶15</w:t>
      </w:r>
      <w:r>
        <w:rPr>
          <w:lang w:val="en"/>
        </w:rPr>
        <w:t xml:space="preserve"> </w:t>
      </w:r>
      <w:r>
        <w:rPr>
          <w:bCs/>
          <w:b/>
          <w:lang w:val="en"/>
        </w:rPr>
        <w:t xml:space="preserve">Residence-basis measurement and seafarer reconciliation.</w:t>
      </w:r>
      <w:r>
        <w:rPr>
          <w:lang w:val="en"/>
        </w:rPr>
        <w:t xml:space="preserve"> </w:t>
      </w:r>
      <w:r>
        <w:rPr>
          <w:lang w:val="en"/>
        </w:rPr>
        <w:t xml:space="preserve">Employment should be measured on a residence basis consistent with SNA 2025 Chapter 19, adjusting flag-state data from MLC 2006 sources to reflect the number of seafarers resident in the compiling country regardless of vessel flag.</w:t>
      </w:r>
      <w:hyperlink w:anchor="user-content-fn-30a">
        <w:r>
          <w:rPr>
            <w:rStyle w:val="Hyperlink"/>
            <w:vertAlign w:val="superscript"/>
            <w:lang w:val="en"/>
          </w:rPr>
          <w:t xml:space="preserve">36</w:t>
        </w:r>
      </w:hyperlink>
      <w:r>
        <w:rPr>
          <w:lang w:val="en"/>
        </w:rPr>
        <w:t xml:space="preserve"> </w:t>
      </w:r>
      <w:r>
        <w:rPr>
          <w:lang w:val="en"/>
        </w:rPr>
        <w:t xml:space="preserve">The BIMCO/ICS</w:t>
      </w:r>
      <w:r>
        <w:rPr>
          <w:lang w:val="en"/>
        </w:rPr>
        <w:t xml:space="preserve"> </w:t>
      </w:r>
      <w:r>
        <w:rPr>
          <w:iCs/>
          <w:i/>
          <w:lang w:val="en"/>
        </w:rPr>
        <w:t xml:space="preserve">Seafarer Workforce Report</w:t>
      </w:r>
      <w:r>
        <w:rPr>
          <w:lang w:val="en"/>
        </w:rPr>
        <w:t xml:space="preserve"> </w:t>
      </w:r>
      <w:r>
        <w:rPr>
          <w:lang w:val="en"/>
        </w:rPr>
        <w:t xml:space="preserve">(2021 edition) provides national seafarer supply estimates by country of residence that may be used as a reference benchmark.</w:t>
      </w:r>
      <w:hyperlink w:anchor="user-content-fn-30b">
        <w:r>
          <w:rPr>
            <w:rStyle w:val="Hyperlink"/>
            <w:vertAlign w:val="superscript"/>
            <w:lang w:val="en"/>
          </w:rPr>
          <w:t xml:space="preserve">37</w:t>
        </w:r>
      </w:hyperlink>
      <w:r>
        <w:rPr>
          <w:lang w:val="en"/>
        </w:rPr>
        <w:t xml:space="preserve"> </w:t>
      </w:r>
      <w:r>
        <w:rPr>
          <w:lang w:val="en"/>
        </w:rPr>
        <w:t xml:space="preserve">Compilers should document the reconciliation approach in metadata and reflect the adjustment in the employment row of the worked example (see the note attached to Table 3.7.2).</w:t>
      </w:r>
    </w:p>
    <w:p>
      <w:pPr>
        <w:pStyle w:val="BodyText"/>
      </w:pPr>
      <w:r>
        <w:rPr>
          <w:lang w:val="en"/>
        </w:rPr>
        <w:t xml:space="preserve">¶16</w:t>
      </w:r>
      <w:r>
        <w:rPr>
          <w:lang w:val="en"/>
        </w:rPr>
        <w:t xml:space="preserve"> </w:t>
      </w:r>
      <w:r>
        <w:rPr>
          <w:bCs/>
          <w:b/>
          <w:lang w:val="en"/>
        </w:rPr>
        <w:t xml:space="preserve">Linkage to social accounts.</w:t>
      </w:r>
      <w:r>
        <w:rPr>
          <w:lang w:val="en"/>
        </w:rPr>
        <w:t xml:space="preserve"> </w:t>
      </w:r>
      <w:r>
        <w:rPr>
          <w:lang w:val="en"/>
        </w:rPr>
        <w:t xml:space="preserve">For integration of maritime transport employment data with social accounts, including labour income distribution, working conditions, occupational safety, and gender disaggregation, see</w:t>
      </w:r>
      <w:r>
        <w:rPr>
          <w:lang w:val="en"/>
        </w:rPr>
        <w:t xml:space="preserve"> </w:t>
      </w:r>
      <w:hyperlink r:id="rId38">
        <w:r>
          <w:rPr>
            <w:rStyle w:val="Hyperlink"/>
            <w:bCs/>
            <w:b/>
            <w:lang w:val="en"/>
          </w:rPr>
          <w:t xml:space="preserve">TG-3.5 Social Accounts</w:t>
        </w:r>
      </w:hyperlink>
      <w:r>
        <w:rPr>
          <w:lang w:val="en"/>
        </w:rPr>
        <w:t xml:space="preserve">.</w:t>
      </w:r>
    </w:p>
    <w:bookmarkStart w:id="106" w:name="X135498288393ea0fce8999d60406e0acc073aa8"/>
    <w:p>
      <w:pPr>
        <w:pStyle w:val="Heading4"/>
      </w:pPr>
      <w:r>
        <w:rPr>
          <w:lang w:val="en"/>
        </w:rPr>
        <w:t xml:space="preserve">3.4.3</w:t>
      </w:r>
      <w:r>
        <w:rPr>
          <w:lang w:val="en"/>
        </w:rPr>
        <w:t xml:space="preserve"> </w:t>
      </w:r>
      <w:r>
        <w:rPr>
          <w:lang w:val="en"/>
        </w:rPr>
        <w:t xml:space="preserve">Supply Chain Linkages</w:t>
      </w:r>
    </w:p>
    <w:p>
      <w:pPr>
        <w:pStyle w:val="FirstParagraph"/>
      </w:pPr>
      <w:hyperlink w:anchor="X135498288393ea0fce8999d60406e0acc073aa8">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Supply Chain Linkages”</w:t>
        </w:r>
      </w:hyperlink>
    </w:p>
    <w:bookmarkEnd w:id="106"/>
    <w:p>
      <w:pPr>
        <w:pStyle w:val="BodyText"/>
      </w:pPr>
      <w:r>
        <w:rPr>
          <w:lang w:val="en"/>
        </w:rPr>
        <w:t xml:space="preserve">¶1</w:t>
      </w:r>
      <w:r>
        <w:rPr>
          <w:lang w:val="en"/>
        </w:rPr>
        <w:t xml:space="preserve"> </w:t>
      </w:r>
      <w:r>
        <w:rPr>
          <w:lang w:val="en"/>
        </w:rPr>
        <w:t xml:space="preserve">Maritime transport has extensive backward and forward linkages:</w:t>
      </w:r>
      <w:hyperlink w:anchor="user-content-fn-31">
        <w:r>
          <w:rPr>
            <w:rStyle w:val="Hyperlink"/>
            <w:vertAlign w:val="superscript"/>
            <w:lang w:val="en"/>
          </w:rPr>
          <w:t xml:space="preserve">38</w:t>
        </w:r>
      </w:hyperlink>
    </w:p>
    <w:p>
      <w:pPr>
        <w:pStyle w:val="BodyText"/>
      </w:pPr>
      <w:r>
        <w:rPr>
          <w:lang w:val="en"/>
        </w:rPr>
        <w:t xml:space="preserve">¶2</w:t>
      </w:r>
      <w:r>
        <w:rPr>
          <w:lang w:val="en"/>
        </w:rPr>
        <w:t xml:space="preserve"> </w:t>
      </w:r>
      <w:r>
        <w:rPr>
          <w:bCs/>
          <w:b/>
          <w:lang w:val="en"/>
        </w:rPr>
        <w:t xml:space="preserve">Backward linkages (inputs):</w:t>
      </w:r>
    </w:p>
    <w:p>
      <w:pPr>
        <w:numPr>
          <w:ilvl w:val="0"/>
          <w:numId w:val="1019"/>
        </w:numPr>
        <w:pStyle w:val="Compact"/>
      </w:pPr>
      <w:r>
        <w:rPr>
          <w:lang w:val="en"/>
        </w:rPr>
        <w:t xml:space="preserve">¶3</w:t>
      </w:r>
      <w:r>
        <w:rPr>
          <w:lang w:val="en"/>
        </w:rPr>
        <w:t xml:space="preserve"> </w:t>
      </w:r>
      <w:r>
        <w:rPr>
          <w:lang w:val="en"/>
        </w:rPr>
        <w:t xml:space="preserve">Shipbuilding and repair (ISIC 3011)</w:t>
      </w:r>
    </w:p>
    <w:p>
      <w:pPr>
        <w:numPr>
          <w:ilvl w:val="0"/>
          <w:numId w:val="1019"/>
        </w:numPr>
        <w:pStyle w:val="Compact"/>
      </w:pPr>
      <w:r>
        <w:rPr>
          <w:lang w:val="en"/>
        </w:rPr>
        <w:t xml:space="preserve">¶4</w:t>
      </w:r>
      <w:r>
        <w:rPr>
          <w:lang w:val="en"/>
        </w:rPr>
        <w:t xml:space="preserve"> </w:t>
      </w:r>
      <w:r>
        <w:rPr>
          <w:lang w:val="en"/>
        </w:rPr>
        <w:t xml:space="preserve">Fuel suppliers</w:t>
      </w:r>
    </w:p>
    <w:p>
      <w:pPr>
        <w:numPr>
          <w:ilvl w:val="0"/>
          <w:numId w:val="1019"/>
        </w:numPr>
        <w:pStyle w:val="Compact"/>
      </w:pPr>
      <w:r>
        <w:rPr>
          <w:lang w:val="en"/>
        </w:rPr>
        <w:t xml:space="preserve">¶5</w:t>
      </w:r>
      <w:r>
        <w:rPr>
          <w:lang w:val="en"/>
        </w:rPr>
        <w:t xml:space="preserve"> </w:t>
      </w:r>
      <w:r>
        <w:rPr>
          <w:lang w:val="en"/>
        </w:rPr>
        <w:t xml:space="preserve">Port services</w:t>
      </w:r>
    </w:p>
    <w:p>
      <w:pPr>
        <w:numPr>
          <w:ilvl w:val="0"/>
          <w:numId w:val="1019"/>
        </w:numPr>
        <w:pStyle w:val="Compact"/>
      </w:pPr>
      <w:r>
        <w:rPr>
          <w:lang w:val="en"/>
        </w:rPr>
        <w:t xml:space="preserve">¶6</w:t>
      </w:r>
      <w:r>
        <w:rPr>
          <w:lang w:val="en"/>
        </w:rPr>
        <w:t xml:space="preserve"> </w:t>
      </w:r>
      <w:r>
        <w:rPr>
          <w:lang w:val="en"/>
        </w:rPr>
        <w:t xml:space="preserve">Classification societies</w:t>
      </w:r>
    </w:p>
    <w:p>
      <w:pPr>
        <w:numPr>
          <w:ilvl w:val="0"/>
          <w:numId w:val="1019"/>
        </w:numPr>
        <w:pStyle w:val="Compact"/>
      </w:pPr>
      <w:r>
        <w:rPr>
          <w:lang w:val="en"/>
        </w:rPr>
        <w:t xml:space="preserve">¶7</w:t>
      </w:r>
      <w:r>
        <w:rPr>
          <w:lang w:val="en"/>
        </w:rPr>
        <w:t xml:space="preserve"> </w:t>
      </w:r>
      <w:r>
        <w:rPr>
          <w:lang w:val="en"/>
        </w:rPr>
        <w:t xml:space="preserve">Marine insurance</w:t>
      </w:r>
    </w:p>
    <w:p>
      <w:pPr>
        <w:pStyle w:val="FirstParagraph"/>
      </w:pPr>
      <w:r>
        <w:rPr>
          <w:lang w:val="en"/>
        </w:rPr>
        <w:t xml:space="preserve">¶8</w:t>
      </w:r>
      <w:r>
        <w:rPr>
          <w:lang w:val="en"/>
        </w:rPr>
        <w:t xml:space="preserve"> </w:t>
      </w:r>
      <w:r>
        <w:rPr>
          <w:bCs/>
          <w:b/>
          <w:lang w:val="en"/>
        </w:rPr>
        <w:t xml:space="preserve">Forward linkages (outputs):</w:t>
      </w:r>
    </w:p>
    <w:p>
      <w:pPr>
        <w:numPr>
          <w:ilvl w:val="0"/>
          <w:numId w:val="1020"/>
        </w:numPr>
        <w:pStyle w:val="Compact"/>
      </w:pPr>
      <w:r>
        <w:rPr>
          <w:lang w:val="en"/>
        </w:rPr>
        <w:t xml:space="preserve">¶9</w:t>
      </w:r>
      <w:r>
        <w:rPr>
          <w:lang w:val="en"/>
        </w:rPr>
        <w:t xml:space="preserve"> </w:t>
      </w:r>
      <w:r>
        <w:rPr>
          <w:lang w:val="en"/>
        </w:rPr>
        <w:t xml:space="preserve">Wholesale and retail trade</w:t>
      </w:r>
    </w:p>
    <w:p>
      <w:pPr>
        <w:numPr>
          <w:ilvl w:val="0"/>
          <w:numId w:val="1020"/>
        </w:numPr>
        <w:pStyle w:val="Compact"/>
      </w:pPr>
      <w:r>
        <w:rPr>
          <w:lang w:val="en"/>
        </w:rPr>
        <w:t xml:space="preserve">¶10</w:t>
      </w:r>
      <w:r>
        <w:rPr>
          <w:lang w:val="en"/>
        </w:rPr>
        <w:t xml:space="preserve"> </w:t>
      </w:r>
      <w:r>
        <w:rPr>
          <w:lang w:val="en"/>
        </w:rPr>
        <w:t xml:space="preserve">Manufacturing (imported inputs)</w:t>
      </w:r>
    </w:p>
    <w:p>
      <w:pPr>
        <w:numPr>
          <w:ilvl w:val="0"/>
          <w:numId w:val="1020"/>
        </w:numPr>
        <w:pStyle w:val="Compact"/>
      </w:pPr>
      <w:r>
        <w:rPr>
          <w:lang w:val="en"/>
        </w:rPr>
        <w:t xml:space="preserve">¶11</w:t>
      </w:r>
      <w:r>
        <w:rPr>
          <w:lang w:val="en"/>
        </w:rPr>
        <w:t xml:space="preserve"> </w:t>
      </w:r>
      <w:r>
        <w:rPr>
          <w:lang w:val="en"/>
        </w:rPr>
        <w:t xml:space="preserve">Agriculture (commodity exports)</w:t>
      </w:r>
    </w:p>
    <w:p>
      <w:pPr>
        <w:numPr>
          <w:ilvl w:val="0"/>
          <w:numId w:val="1020"/>
        </w:numPr>
        <w:pStyle w:val="Compact"/>
      </w:pPr>
      <w:r>
        <w:rPr>
          <w:lang w:val="en"/>
        </w:rPr>
        <w:t xml:space="preserve">¶12</w:t>
      </w:r>
      <w:r>
        <w:rPr>
          <w:lang w:val="en"/>
        </w:rPr>
        <w:t xml:space="preserve"> </w:t>
      </w:r>
      <w:r>
        <w:rPr>
          <w:lang w:val="en"/>
        </w:rPr>
        <w:t xml:space="preserve">Tourism (cruise industry)</w:t>
      </w:r>
    </w:p>
    <w:p>
      <w:pPr>
        <w:pStyle w:val="FirstParagraph"/>
      </w:pPr>
      <w:r>
        <w:rPr>
          <w:lang w:val="en"/>
        </w:rPr>
        <w:t xml:space="preserve">¶13</w:t>
      </w:r>
      <w:r>
        <w:rPr>
          <w:lang w:val="en"/>
        </w:rPr>
        <w:t xml:space="preserve"> </w:t>
      </w:r>
      <w:r>
        <w:rPr>
          <w:lang w:val="en"/>
        </w:rPr>
        <w:t xml:space="preserve">These linkages can be quantified using supply and use tables and input-output analysis (see</w:t>
      </w:r>
      <w:r>
        <w:rPr>
          <w:lang w:val="en"/>
        </w:rPr>
        <w:t xml:space="preserve"> </w:t>
      </w:r>
      <w:hyperlink r:id="rId32">
        <w:r>
          <w:rPr>
            <w:rStyle w:val="Hyperlink"/>
            <w:bCs/>
            <w:b/>
            <w:lang w:val="en"/>
          </w:rPr>
          <w:t xml:space="preserve">TG-3.3 Economic Activity Relevant to the Ocean</w:t>
        </w:r>
      </w:hyperlink>
      <w:r>
        <w:rPr>
          <w:lang w:val="en"/>
        </w:rPr>
        <w:t xml:space="preserve">).</w:t>
      </w:r>
      <w:hyperlink w:anchor="user-content-fn-32">
        <w:r>
          <w:rPr>
            <w:rStyle w:val="Hyperlink"/>
            <w:vertAlign w:val="superscript"/>
            <w:lang w:val="en"/>
          </w:rPr>
          <w:t xml:space="preserve">39</w:t>
        </w:r>
      </w:hyperlink>
    </w:p>
    <w:p>
      <w:r>
        <w:pict>
          <v:rect style="width:0;height:1.5pt" o:hralign="center" o:hrstd="t" o:hr="t"/>
        </w:pict>
      </w:r>
    </w:p>
    <w:bookmarkStart w:id="109" w:name="X0800ea4a4cac11831a214c31d4dfd791c50ad40"/>
    <w:p>
      <w:pPr>
        <w:pStyle w:val="Heading3"/>
      </w:pPr>
      <w:r>
        <w:rPr>
          <w:lang w:val="en"/>
        </w:rPr>
        <w:t xml:space="preserve">3.5</w:t>
      </w:r>
      <w:r>
        <w:rPr>
          <w:lang w:val="en"/>
        </w:rPr>
        <w:t xml:space="preserve"> </w:t>
      </w:r>
      <w:r>
        <w:rPr>
          <w:lang w:val="en"/>
        </w:rPr>
        <w:t xml:space="preserve">Environmental Interactions</w:t>
      </w:r>
    </w:p>
    <w:p>
      <w:pPr>
        <w:pStyle w:val="FirstParagraph"/>
      </w:pPr>
      <w:hyperlink w:anchor="X0800ea4a4cac11831a214c31d4dfd791c50ad40">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Environmental Interactions”</w:t>
        </w:r>
      </w:hyperlink>
    </w:p>
    <w:bookmarkEnd w:id="109"/>
    <w:p>
      <w:pPr>
        <w:pStyle w:val="BodyText"/>
      </w:pPr>
      <w:r>
        <w:rPr>
          <w:lang w:val="en"/>
        </w:rPr>
        <w:t xml:space="preserve">¶1</w:t>
      </w:r>
      <w:r>
        <w:rPr>
          <w:lang w:val="en"/>
        </w:rPr>
        <w:t xml:space="preserve"> </w:t>
      </w:r>
      <w:r>
        <w:rPr>
          <w:lang w:val="en"/>
        </w:rPr>
        <w:t xml:space="preserve">Table 3.5.1 summarises the main environmental interactions of maritime transport and their corresponding SEEA account entries.</w:t>
      </w:r>
    </w:p>
    <w:p>
      <w:pPr>
        <w:pStyle w:val="BodyText"/>
      </w:pPr>
      <w:r>
        <w:rPr>
          <w:lang w:val="en"/>
        </w:rPr>
        <w:t xml:space="preserve">¶2</w:t>
      </w:r>
      <w:r>
        <w:rPr>
          <w:lang w:val="en"/>
        </w:rPr>
        <w:t xml:space="preserve"> </w:t>
      </w:r>
      <w:r>
        <w:rPr>
          <w:iCs/>
          <w:i/>
          <w:lang w:val="en"/>
        </w:rPr>
        <w:t xml:space="preserve">Table 3.5.1: Maritime transport environmental interactions and SEEA flow types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Interaction</w:t>
            </w:r>
          </w:p>
        </w:tc>
        <w:tc>
          <w:tcPr/>
          <w:p>
            <w:pPr>
              <w:pStyle w:val="Compact"/>
              <w:jc w:val="left"/>
            </w:pPr>
            <w:r>
              <w:rPr>
                <w:lang w:val="en"/>
              </w:rPr>
              <w:t xml:space="preserve">SEEA Flow Type</w:t>
            </w:r>
          </w:p>
        </w:tc>
        <w:tc>
          <w:tcPr/>
          <w:p>
            <w:pPr>
              <w:pStyle w:val="Compact"/>
              <w:jc w:val="left"/>
            </w:pPr>
            <w:r>
              <w:rPr>
                <w:lang w:val="en"/>
              </w:rPr>
              <w:t xml:space="preserve">Section</w:t>
            </w:r>
          </w:p>
        </w:tc>
        <w:tc>
          <w:tcPr/>
          <w:p>
            <w:pPr>
              <w:pStyle w:val="Compact"/>
              <w:jc w:val="left"/>
            </w:pPr>
            <w:r>
              <w:rPr>
                <w:lang w:val="en"/>
              </w:rPr>
              <w:t xml:space="preserve">Related Circular</w:t>
            </w:r>
          </w:p>
        </w:tc>
      </w:tr>
      <w:tr>
        <w:tc>
          <w:tcPr/>
          <w:p>
            <w:pPr>
              <w:pStyle w:val="Compact"/>
              <w:jc w:val="left"/>
            </w:pPr>
            <w:r>
              <w:rPr>
                <w:lang w:val="en"/>
              </w:rPr>
              <w:t xml:space="preserve">Ballast water discharge</w:t>
            </w:r>
          </w:p>
        </w:tc>
        <w:tc>
          <w:tcPr/>
          <w:p>
            <w:pPr>
              <w:pStyle w:val="Compact"/>
              <w:jc w:val="left"/>
            </w:pPr>
            <w:r>
              <w:rPr>
                <w:lang w:val="en"/>
              </w:rPr>
              <w:t xml:space="preserve">Biological pressure (ecosystem condition)</w:t>
            </w:r>
          </w:p>
        </w:tc>
        <w:tc>
          <w:tcPr/>
          <w:p>
            <w:pPr>
              <w:pStyle w:val="Compact"/>
              <w:jc w:val="left"/>
            </w:pPr>
            <w:r>
              <w:rPr>
                <w:lang w:val="en"/>
              </w:rPr>
              <w:t xml:space="preserve">3.5.1</w:t>
            </w:r>
          </w:p>
        </w:tc>
        <w:tc>
          <w:tcPr/>
          <w:p>
            <w:pPr>
              <w:pStyle w:val="Compact"/>
              <w:jc w:val="left"/>
            </w:pPr>
            <w:hyperlink r:id="rId94">
              <w:r>
                <w:rPr>
                  <w:rStyle w:val="Hyperlink"/>
                  <w:bCs/>
                  <w:b/>
                  <w:lang w:val="en"/>
                </w:rPr>
                <w:t xml:space="preserve">TG-2.1 Biophysical Indicators</w:t>
              </w:r>
            </w:hyperlink>
          </w:p>
        </w:tc>
      </w:tr>
      <w:tr>
        <w:tc>
          <w:tcPr/>
          <w:p>
            <w:pPr>
              <w:pStyle w:val="Compact"/>
              <w:jc w:val="left"/>
            </w:pPr>
            <w:r>
              <w:rPr>
                <w:lang w:val="en"/>
              </w:rPr>
              <w:t xml:space="preserve">Hull biofouling</w:t>
            </w:r>
          </w:p>
        </w:tc>
        <w:tc>
          <w:tcPr/>
          <w:p>
            <w:pPr>
              <w:pStyle w:val="Compact"/>
              <w:jc w:val="left"/>
            </w:pPr>
            <w:r>
              <w:rPr>
                <w:lang w:val="en"/>
              </w:rPr>
              <w:t xml:space="preserve">Residual flow (biological)</w:t>
            </w:r>
          </w:p>
        </w:tc>
        <w:tc>
          <w:tcPr/>
          <w:p>
            <w:pPr>
              <w:pStyle w:val="Compact"/>
              <w:jc w:val="left"/>
            </w:pPr>
            <w:r>
              <w:rPr>
                <w:lang w:val="en"/>
              </w:rPr>
              <w:t xml:space="preserve">3.5.2</w:t>
            </w:r>
          </w:p>
        </w:tc>
        <w:tc>
          <w:tcPr/>
          <w:p>
            <w:pPr>
              <w:pStyle w:val="Compact"/>
              <w:jc w:val="left"/>
            </w:pPr>
            <w:hyperlink r:id="rId33">
              <w:r>
                <w:rPr>
                  <w:rStyle w:val="Hyperlink"/>
                  <w:bCs/>
                  <w:b/>
                  <w:lang w:val="en"/>
                </w:rPr>
                <w:t xml:space="preserve">TG-3.4 Flows from Economy to Environment</w:t>
              </w:r>
            </w:hyperlink>
          </w:p>
        </w:tc>
      </w:tr>
      <w:tr>
        <w:tc>
          <w:tcPr/>
          <w:p>
            <w:pPr>
              <w:pStyle w:val="Compact"/>
              <w:jc w:val="left"/>
            </w:pPr>
            <w:r>
              <w:rPr>
                <w:lang w:val="en"/>
              </w:rPr>
              <w:t xml:space="preserve">Anchoring damage</w:t>
            </w:r>
          </w:p>
        </w:tc>
        <w:tc>
          <w:tcPr/>
          <w:p>
            <w:pPr>
              <w:pStyle w:val="Compact"/>
              <w:jc w:val="left"/>
            </w:pPr>
            <w:r>
              <w:rPr>
                <w:lang w:val="en"/>
              </w:rPr>
              <w:t xml:space="preserve">Ecosystem condition change</w:t>
            </w:r>
          </w:p>
        </w:tc>
        <w:tc>
          <w:tcPr/>
          <w:p>
            <w:pPr>
              <w:pStyle w:val="Compact"/>
              <w:jc w:val="left"/>
            </w:pPr>
            <w:r>
              <w:rPr>
                <w:lang w:val="en"/>
              </w:rPr>
              <w:t xml:space="preserve">3.5.3</w:t>
            </w:r>
          </w:p>
        </w:tc>
        <w:tc>
          <w:tcPr/>
          <w:p>
            <w:pPr>
              <w:pStyle w:val="Compact"/>
              <w:jc w:val="left"/>
            </w:pPr>
            <w:hyperlink r:id="rId110">
              <w:r>
                <w:rPr>
                  <w:rStyle w:val="Hyperlink"/>
                  <w:bCs/>
                  <w:b/>
                  <w:lang w:val="en"/>
                </w:rPr>
                <w:t xml:space="preserve">TG-6.1 Coral Reef</w:t>
              </w:r>
            </w:hyperlink>
            <w:r>
              <w:rPr>
                <w:lang w:val="en"/>
              </w:rPr>
              <w:t xml:space="preserve">,</w:t>
            </w:r>
            <w:r>
              <w:rPr>
                <w:lang w:val="en"/>
              </w:rPr>
              <w:t xml:space="preserve"> </w:t>
            </w:r>
            <w:hyperlink r:id="rId111">
              <w:r>
                <w:rPr>
                  <w:rStyle w:val="Hyperlink"/>
                  <w:bCs/>
                  <w:b/>
                  <w:lang w:val="en"/>
                </w:rPr>
                <w:t xml:space="preserve">TG-6.3 Seagrass</w:t>
              </w:r>
            </w:hyperlink>
          </w:p>
        </w:tc>
      </w:tr>
      <w:tr>
        <w:tc>
          <w:tcPr/>
          <w:p>
            <w:pPr>
              <w:pStyle w:val="Compact"/>
              <w:jc w:val="left"/>
            </w:pPr>
            <w:r>
              <w:rPr>
                <w:lang w:val="en"/>
              </w:rPr>
              <w:t xml:space="preserve">Oil and chemical spills</w:t>
            </w:r>
          </w:p>
        </w:tc>
        <w:tc>
          <w:tcPr/>
          <w:p>
            <w:pPr>
              <w:pStyle w:val="Compact"/>
              <w:jc w:val="left"/>
            </w:pPr>
            <w:r>
              <w:rPr>
                <w:lang w:val="en"/>
              </w:rPr>
              <w:t xml:space="preserve">Residual flow (water)</w:t>
            </w:r>
          </w:p>
        </w:tc>
        <w:tc>
          <w:tcPr/>
          <w:p>
            <w:pPr>
              <w:pStyle w:val="Compact"/>
              <w:jc w:val="left"/>
            </w:pPr>
            <w:r>
              <w:rPr>
                <w:lang w:val="en"/>
              </w:rPr>
              <w:t xml:space="preserve">3.5.4</w:t>
            </w:r>
          </w:p>
        </w:tc>
        <w:tc>
          <w:tcPr/>
          <w:p>
            <w:pPr>
              <w:pStyle w:val="Compact"/>
              <w:jc w:val="left"/>
            </w:pPr>
            <w:hyperlink r:id="rId33">
              <w:r>
                <w:rPr>
                  <w:rStyle w:val="Hyperlink"/>
                  <w:bCs/>
                  <w:b/>
                  <w:lang w:val="en"/>
                </w:rPr>
                <w:t xml:space="preserve">TG-3.4 Flows from Economy to Environment</w:t>
              </w:r>
            </w:hyperlink>
          </w:p>
        </w:tc>
      </w:tr>
    </w:tbl>
    <w:bookmarkStart w:id="114" w:name="X6ae96a8b2f9b943373e0b3281d44cd192e5bacf"/>
    <w:p>
      <w:pPr>
        <w:pStyle w:val="Heading4"/>
      </w:pPr>
      <w:r>
        <w:rPr>
          <w:lang w:val="en"/>
        </w:rPr>
        <w:t xml:space="preserve">3.5.1</w:t>
      </w:r>
      <w:r>
        <w:rPr>
          <w:lang w:val="en"/>
        </w:rPr>
        <w:t xml:space="preserve"> </w:t>
      </w:r>
      <w:r>
        <w:rPr>
          <w:lang w:val="en"/>
        </w:rPr>
        <w:t xml:space="preserve">Ballast Water</w:t>
      </w:r>
    </w:p>
    <w:p>
      <w:pPr>
        <w:pStyle w:val="FirstParagraph"/>
      </w:pPr>
      <w:hyperlink w:anchor="X6ae96a8b2f9b943373e0b3281d44cd192e5bacf">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Ballast Water”</w:t>
        </w:r>
      </w:hyperlink>
    </w:p>
    <w:bookmarkEnd w:id="114"/>
    <w:p>
      <w:pPr>
        <w:pStyle w:val="BodyText"/>
      </w:pPr>
      <w:r>
        <w:rPr>
          <w:lang w:val="en"/>
        </w:rPr>
        <w:t xml:space="preserve">¶1</w:t>
      </w:r>
      <w:r>
        <w:rPr>
          <w:lang w:val="en"/>
        </w:rPr>
        <w:t xml:space="preserve"> </w:t>
      </w:r>
      <w:r>
        <w:rPr>
          <w:lang w:val="en"/>
        </w:rPr>
        <w:t xml:space="preserve">Ships take on ballast water for stability, potentially transporting organisms across biogeographic boundaries.</w:t>
      </w:r>
      <w:hyperlink w:anchor="user-content-fn-33">
        <w:r>
          <w:rPr>
            <w:rStyle w:val="Hyperlink"/>
            <w:vertAlign w:val="superscript"/>
            <w:lang w:val="en"/>
          </w:rPr>
          <w:t xml:space="preserve">40</w:t>
        </w:r>
      </w:hyperlink>
      <w:r>
        <w:rPr>
          <w:lang w:val="en"/>
        </w:rPr>
        <w:t xml:space="preserve"> </w:t>
      </w:r>
      <w:r>
        <w:rPr>
          <w:lang w:val="en"/>
        </w:rPr>
        <w:t xml:space="preserve">Ballast water discharge is treated as a biological pressure indicator rather than a SEEA residual air or water flow. Compilers should record ballast water indicators alongside ecosystem condition variables and link them to invasive species monitoring programmes.</w:t>
      </w:r>
    </w:p>
    <w:p>
      <w:pPr>
        <w:pStyle w:val="BodyText"/>
      </w:pPr>
      <w:r>
        <w:rPr>
          <w:lang w:val="en"/>
        </w:rPr>
        <w:t xml:space="preserve">¶2</w:t>
      </w:r>
      <w:r>
        <w:rPr>
          <w:lang w:val="en"/>
        </w:rPr>
        <w:t xml:space="preserve"> </w:t>
      </w:r>
      <w:r>
        <w:rPr>
          <w:bCs/>
          <w:b/>
          <w:lang w:val="en"/>
        </w:rPr>
        <w:t xml:space="preserve">Accounting elements:</w:t>
      </w:r>
    </w:p>
    <w:p>
      <w:pPr>
        <w:numPr>
          <w:ilvl w:val="0"/>
          <w:numId w:val="1021"/>
        </w:numPr>
        <w:pStyle w:val="Compact"/>
      </w:pPr>
      <w:r>
        <w:rPr>
          <w:lang w:val="en"/>
        </w:rPr>
        <w:t xml:space="preserve">¶3</w:t>
      </w:r>
      <w:r>
        <w:rPr>
          <w:lang w:val="en"/>
        </w:rPr>
        <w:t xml:space="preserve"> </w:t>
      </w:r>
      <w:r>
        <w:rPr>
          <w:lang w:val="en"/>
        </w:rPr>
        <w:t xml:space="preserve">Volume of ballast water discharged (by port, by vessel origin)</w:t>
      </w:r>
    </w:p>
    <w:p>
      <w:pPr>
        <w:numPr>
          <w:ilvl w:val="0"/>
          <w:numId w:val="1021"/>
        </w:numPr>
        <w:pStyle w:val="Compact"/>
      </w:pPr>
      <w:r>
        <w:rPr>
          <w:lang w:val="en"/>
        </w:rPr>
        <w:t xml:space="preserve">¶4</w:t>
      </w:r>
      <w:r>
        <w:rPr>
          <w:lang w:val="en"/>
        </w:rPr>
        <w:t xml:space="preserve"> </w:t>
      </w:r>
      <w:r>
        <w:rPr>
          <w:lang w:val="en"/>
        </w:rPr>
        <w:t xml:space="preserve">Species detection monitoring</w:t>
      </w:r>
    </w:p>
    <w:p>
      <w:pPr>
        <w:numPr>
          <w:ilvl w:val="0"/>
          <w:numId w:val="1021"/>
        </w:numPr>
        <w:pStyle w:val="Compact"/>
      </w:pPr>
      <w:r>
        <w:rPr>
          <w:lang w:val="en"/>
        </w:rPr>
        <w:t xml:space="preserve">¶5</w:t>
      </w:r>
      <w:r>
        <w:rPr>
          <w:lang w:val="en"/>
        </w:rPr>
        <w:t xml:space="preserve"> </w:t>
      </w:r>
      <w:r>
        <w:rPr>
          <w:lang w:val="en"/>
        </w:rPr>
        <w:t xml:space="preserve">Compliance with Ballast Water Management Convention</w:t>
      </w:r>
    </w:p>
    <w:p>
      <w:pPr>
        <w:numPr>
          <w:ilvl w:val="0"/>
          <w:numId w:val="1021"/>
        </w:numPr>
        <w:pStyle w:val="Compact"/>
      </w:pPr>
      <w:r>
        <w:rPr>
          <w:lang w:val="en"/>
        </w:rPr>
        <w:t xml:space="preserve">¶6</w:t>
      </w:r>
      <w:r>
        <w:rPr>
          <w:lang w:val="en"/>
        </w:rPr>
        <w:t xml:space="preserve"> </w:t>
      </w:r>
      <w:r>
        <w:rPr>
          <w:lang w:val="en"/>
        </w:rPr>
        <w:t xml:space="preserve">Expenditure on ballast water treatment systems (recorded as environmental protection expenditure)</w:t>
      </w:r>
    </w:p>
    <w:p>
      <w:pPr>
        <w:pStyle w:val="FirstParagraph"/>
      </w:pPr>
      <w:r>
        <w:rPr>
          <w:lang w:val="en"/>
        </w:rPr>
        <w:t xml:space="preserve">¶7</w:t>
      </w:r>
      <w:r>
        <w:rPr>
          <w:lang w:val="en"/>
        </w:rPr>
        <w:t xml:space="preserve"> </w:t>
      </w:r>
      <w:r>
        <w:rPr>
          <w:bCs/>
          <w:b/>
          <w:lang w:val="en"/>
        </w:rPr>
        <w:t xml:space="preserve">Cross-reference:</w:t>
      </w:r>
      <w:r>
        <w:rPr>
          <w:lang w:val="en"/>
        </w:rPr>
        <w:t xml:space="preserve"> </w:t>
      </w:r>
      <w:r>
        <w:rPr>
          <w:lang w:val="en"/>
        </w:rPr>
        <w:t xml:space="preserve">See</w:t>
      </w:r>
      <w:r>
        <w:rPr>
          <w:lang w:val="en"/>
        </w:rPr>
        <w:t xml:space="preserve"> </w:t>
      </w:r>
      <w:hyperlink r:id="rId94">
        <w:r>
          <w:rPr>
            <w:rStyle w:val="Hyperlink"/>
            <w:bCs/>
            <w:b/>
            <w:lang w:val="en"/>
          </w:rPr>
          <w:t xml:space="preserve">TG-2.1 Biophysical Indicators</w:t>
        </w:r>
      </w:hyperlink>
      <w:r>
        <w:rPr>
          <w:lang w:val="en"/>
        </w:rPr>
        <w:t xml:space="preserve">.</w:t>
      </w:r>
    </w:p>
    <w:bookmarkStart w:id="117" w:name="X5d2def8c55ac0e9de9160b7347f35a771663f69"/>
    <w:p>
      <w:pPr>
        <w:pStyle w:val="Heading4"/>
      </w:pPr>
      <w:r>
        <w:rPr>
          <w:lang w:val="en"/>
        </w:rPr>
        <w:t xml:space="preserve">3.5.2</w:t>
      </w:r>
      <w:r>
        <w:rPr>
          <w:lang w:val="en"/>
        </w:rPr>
        <w:t xml:space="preserve"> </w:t>
      </w:r>
      <w:r>
        <w:rPr>
          <w:lang w:val="en"/>
        </w:rPr>
        <w:t xml:space="preserve">Hull Biofouling</w:t>
      </w:r>
    </w:p>
    <w:p>
      <w:pPr>
        <w:pStyle w:val="FirstParagraph"/>
      </w:pPr>
      <w:hyperlink w:anchor="X5d2def8c55ac0e9de9160b7347f35a771663f69">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Hull Biofouling”</w:t>
        </w:r>
      </w:hyperlink>
    </w:p>
    <w:bookmarkEnd w:id="117"/>
    <w:p>
      <w:pPr>
        <w:pStyle w:val="BodyText"/>
      </w:pPr>
      <w:r>
        <w:rPr>
          <w:lang w:val="en"/>
        </w:rPr>
        <w:t xml:space="preserve">¶1</w:t>
      </w:r>
      <w:r>
        <w:rPr>
          <w:lang w:val="en"/>
        </w:rPr>
        <w:t xml:space="preserve"> </w:t>
      </w:r>
      <w:r>
        <w:rPr>
          <w:lang w:val="en"/>
        </w:rPr>
        <w:t xml:space="preserve">Hull biofouling is a pathway for invasive species introduction.</w:t>
      </w:r>
      <w:hyperlink w:anchor="user-content-fn-34">
        <w:r>
          <w:rPr>
            <w:rStyle w:val="Hyperlink"/>
            <w:vertAlign w:val="superscript"/>
            <w:lang w:val="en"/>
          </w:rPr>
          <w:t xml:space="preserve">41</w:t>
        </w:r>
      </w:hyperlink>
    </w:p>
    <w:p>
      <w:pPr>
        <w:pStyle w:val="BodyText"/>
      </w:pPr>
      <w:r>
        <w:rPr>
          <w:lang w:val="en"/>
        </w:rPr>
        <w:t xml:space="preserve">¶2</w:t>
      </w:r>
      <w:r>
        <w:rPr>
          <w:lang w:val="en"/>
        </w:rPr>
        <w:t xml:space="preserve"> </w:t>
      </w:r>
      <w:r>
        <w:rPr>
          <w:bCs/>
          <w:b/>
          <w:lang w:val="en"/>
        </w:rPr>
        <w:t xml:space="preserve">Accounting elements:</w:t>
      </w:r>
    </w:p>
    <w:p>
      <w:pPr>
        <w:numPr>
          <w:ilvl w:val="0"/>
          <w:numId w:val="1022"/>
        </w:numPr>
        <w:pStyle w:val="Compact"/>
      </w:pPr>
      <w:r>
        <w:rPr>
          <w:lang w:val="en"/>
        </w:rPr>
        <w:t xml:space="preserve">¶3</w:t>
      </w:r>
      <w:r>
        <w:rPr>
          <w:lang w:val="en"/>
        </w:rPr>
        <w:t xml:space="preserve"> </w:t>
      </w:r>
      <w:r>
        <w:rPr>
          <w:lang w:val="en"/>
        </w:rPr>
        <w:t xml:space="preserve">Antifouling system application and maintenance</w:t>
      </w:r>
    </w:p>
    <w:p>
      <w:pPr>
        <w:numPr>
          <w:ilvl w:val="0"/>
          <w:numId w:val="1022"/>
        </w:numPr>
        <w:pStyle w:val="Compact"/>
      </w:pPr>
      <w:r>
        <w:rPr>
          <w:lang w:val="en"/>
        </w:rPr>
        <w:t xml:space="preserve">¶4</w:t>
      </w:r>
      <w:r>
        <w:rPr>
          <w:lang w:val="en"/>
        </w:rPr>
        <w:t xml:space="preserve"> </w:t>
      </w:r>
      <w:r>
        <w:rPr>
          <w:lang w:val="en"/>
        </w:rPr>
        <w:t xml:space="preserve">Hull cleaning activities and waste disposal</w:t>
      </w:r>
    </w:p>
    <w:p>
      <w:pPr>
        <w:numPr>
          <w:ilvl w:val="0"/>
          <w:numId w:val="1022"/>
        </w:numPr>
        <w:pStyle w:val="Compact"/>
      </w:pPr>
      <w:r>
        <w:rPr>
          <w:lang w:val="en"/>
        </w:rPr>
        <w:t xml:space="preserve">¶5</w:t>
      </w:r>
      <w:r>
        <w:rPr>
          <w:lang w:val="en"/>
        </w:rPr>
        <w:t xml:space="preserve"> </w:t>
      </w:r>
      <w:r>
        <w:rPr>
          <w:lang w:val="en"/>
        </w:rPr>
        <w:t xml:space="preserve">Biofouling inspections at ports</w:t>
      </w:r>
    </w:p>
    <w:p>
      <w:pPr>
        <w:numPr>
          <w:ilvl w:val="0"/>
          <w:numId w:val="1022"/>
        </w:numPr>
        <w:pStyle w:val="Compact"/>
      </w:pPr>
      <w:r>
        <w:rPr>
          <w:lang w:val="en"/>
        </w:rPr>
        <w:t xml:space="preserve">¶6</w:t>
      </w:r>
      <w:r>
        <w:rPr>
          <w:lang w:val="en"/>
        </w:rPr>
        <w:t xml:space="preserve"> </w:t>
      </w:r>
      <w:r>
        <w:rPr>
          <w:lang w:val="en"/>
        </w:rPr>
        <w:t xml:space="preserve">Linkage to invasive species monitoring</w:t>
      </w:r>
    </w:p>
    <w:bookmarkStart w:id="120" w:name="X8c05e286f908541f00afa53e3171c6db78ee09d"/>
    <w:p>
      <w:pPr>
        <w:pStyle w:val="Heading4"/>
      </w:pPr>
      <w:r>
        <w:rPr>
          <w:lang w:val="en"/>
        </w:rPr>
        <w:t xml:space="preserve">3.5.3</w:t>
      </w:r>
      <w:r>
        <w:rPr>
          <w:lang w:val="en"/>
        </w:rPr>
        <w:t xml:space="preserve"> </w:t>
      </w:r>
      <w:r>
        <w:rPr>
          <w:lang w:val="en"/>
        </w:rPr>
        <w:t xml:space="preserve">Anchoring Impacts</w:t>
      </w:r>
    </w:p>
    <w:p>
      <w:pPr>
        <w:pStyle w:val="FirstParagraph"/>
      </w:pPr>
      <w:hyperlink w:anchor="X8c05e286f908541f00afa53e3171c6db78ee09d">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Anchoring Impacts”</w:t>
        </w:r>
      </w:hyperlink>
    </w:p>
    <w:bookmarkEnd w:id="120"/>
    <w:p>
      <w:pPr>
        <w:pStyle w:val="BodyText"/>
      </w:pPr>
      <w:r>
        <w:rPr>
          <w:lang w:val="en"/>
        </w:rPr>
        <w:t xml:space="preserve">¶1</w:t>
      </w:r>
      <w:r>
        <w:rPr>
          <w:lang w:val="en"/>
        </w:rPr>
        <w:t xml:space="preserve"> </w:t>
      </w:r>
      <w:r>
        <w:rPr>
          <w:lang w:val="en"/>
        </w:rPr>
        <w:t xml:space="preserve">Anchoring causes physical damage to seabed habitats, particularly seagrass meadows and coral reefs.</w:t>
      </w:r>
      <w:hyperlink w:anchor="user-content-fn-35">
        <w:r>
          <w:rPr>
            <w:rStyle w:val="Hyperlink"/>
            <w:vertAlign w:val="superscript"/>
            <w:lang w:val="en"/>
          </w:rPr>
          <w:t xml:space="preserve">42</w:t>
        </w:r>
      </w:hyperlink>
    </w:p>
    <w:p>
      <w:pPr>
        <w:pStyle w:val="BodyText"/>
      </w:pPr>
      <w:r>
        <w:rPr>
          <w:lang w:val="en"/>
        </w:rPr>
        <w:t xml:space="preserve">¶2</w:t>
      </w:r>
      <w:r>
        <w:rPr>
          <w:lang w:val="en"/>
        </w:rPr>
        <w:t xml:space="preserve"> </w:t>
      </w:r>
      <w:r>
        <w:rPr>
          <w:bCs/>
          <w:b/>
          <w:lang w:val="en"/>
        </w:rPr>
        <w:t xml:space="preserve">Accounting elements:</w:t>
      </w:r>
    </w:p>
    <w:p>
      <w:pPr>
        <w:numPr>
          <w:ilvl w:val="0"/>
          <w:numId w:val="1023"/>
        </w:numPr>
        <w:pStyle w:val="Compact"/>
      </w:pPr>
      <w:r>
        <w:rPr>
          <w:lang w:val="en"/>
        </w:rPr>
        <w:t xml:space="preserve">¶3</w:t>
      </w:r>
      <w:r>
        <w:rPr>
          <w:lang w:val="en"/>
        </w:rPr>
        <w:t xml:space="preserve"> </w:t>
      </w:r>
      <w:r>
        <w:rPr>
          <w:lang w:val="en"/>
        </w:rPr>
        <w:t xml:space="preserve">Anchorage locations and frequency of use</w:t>
      </w:r>
    </w:p>
    <w:p>
      <w:pPr>
        <w:numPr>
          <w:ilvl w:val="0"/>
          <w:numId w:val="1023"/>
        </w:numPr>
        <w:pStyle w:val="Compact"/>
      </w:pPr>
      <w:r>
        <w:rPr>
          <w:lang w:val="en"/>
        </w:rPr>
        <w:t xml:space="preserve">¶4</w:t>
      </w:r>
      <w:r>
        <w:rPr>
          <w:lang w:val="en"/>
        </w:rPr>
        <w:t xml:space="preserve"> </w:t>
      </w:r>
      <w:r>
        <w:rPr>
          <w:lang w:val="en"/>
        </w:rPr>
        <w:t xml:space="preserve">Duration of anchor events</w:t>
      </w:r>
    </w:p>
    <w:p>
      <w:pPr>
        <w:numPr>
          <w:ilvl w:val="0"/>
          <w:numId w:val="1023"/>
        </w:numPr>
        <w:pStyle w:val="Compact"/>
      </w:pPr>
      <w:r>
        <w:rPr>
          <w:lang w:val="en"/>
        </w:rPr>
        <w:t xml:space="preserve">¶5</w:t>
      </w:r>
      <w:r>
        <w:rPr>
          <w:lang w:val="en"/>
        </w:rPr>
        <w:t xml:space="preserve"> </w:t>
      </w:r>
      <w:r>
        <w:rPr>
          <w:lang w:val="en"/>
        </w:rPr>
        <w:t xml:space="preserve">Overlap with sensitive habitat areas</w:t>
      </w:r>
    </w:p>
    <w:p>
      <w:pPr>
        <w:numPr>
          <w:ilvl w:val="0"/>
          <w:numId w:val="1023"/>
        </w:numPr>
        <w:pStyle w:val="Compact"/>
      </w:pPr>
      <w:r>
        <w:rPr>
          <w:lang w:val="en"/>
        </w:rPr>
        <w:t xml:space="preserve">¶6</w:t>
      </w:r>
      <w:r>
        <w:rPr>
          <w:lang w:val="en"/>
        </w:rPr>
        <w:t xml:space="preserve"> </w:t>
      </w:r>
      <w:r>
        <w:rPr>
          <w:lang w:val="en"/>
        </w:rPr>
        <w:t xml:space="preserve">Mooring buoy installation as mitigation</w:t>
      </w:r>
    </w:p>
    <w:p>
      <w:pPr>
        <w:pStyle w:val="FirstParagraph"/>
      </w:pPr>
      <w:r>
        <w:rPr>
          <w:lang w:val="en"/>
        </w:rPr>
        <w:t xml:space="preserve">¶7</w:t>
      </w:r>
      <w:r>
        <w:rPr>
          <w:lang w:val="en"/>
        </w:rPr>
        <w:t xml:space="preserve"> </w:t>
      </w:r>
      <w:r>
        <w:rPr>
          <w:bCs/>
          <w:b/>
          <w:lang w:val="en"/>
        </w:rPr>
        <w:t xml:space="preserve">Cross-reference:</w:t>
      </w:r>
      <w:r>
        <w:rPr>
          <w:lang w:val="en"/>
        </w:rPr>
        <w:t xml:space="preserve"> </w:t>
      </w:r>
      <w:r>
        <w:rPr>
          <w:lang w:val="en"/>
        </w:rPr>
        <w:t xml:space="preserve">See</w:t>
      </w:r>
      <w:r>
        <w:rPr>
          <w:lang w:val="en"/>
        </w:rPr>
        <w:t xml:space="preserve"> </w:t>
      </w:r>
      <w:hyperlink r:id="rId110">
        <w:r>
          <w:rPr>
            <w:rStyle w:val="Hyperlink"/>
            <w:bCs/>
            <w:b/>
            <w:lang w:val="en"/>
          </w:rPr>
          <w:t xml:space="preserve">TG-6.1 Coral Reef</w:t>
        </w:r>
      </w:hyperlink>
      <w:r>
        <w:rPr>
          <w:lang w:val="en"/>
        </w:rPr>
        <w:t xml:space="preserve"> </w:t>
      </w:r>
      <w:r>
        <w:rPr>
          <w:lang w:val="en"/>
        </w:rPr>
        <w:t xml:space="preserve">and</w:t>
      </w:r>
      <w:r>
        <w:rPr>
          <w:lang w:val="en"/>
        </w:rPr>
        <w:t xml:space="preserve"> </w:t>
      </w:r>
      <w:hyperlink r:id="rId111">
        <w:r>
          <w:rPr>
            <w:rStyle w:val="Hyperlink"/>
            <w:bCs/>
            <w:b/>
            <w:lang w:val="en"/>
          </w:rPr>
          <w:t xml:space="preserve">TG-6.3 Seagrass</w:t>
        </w:r>
      </w:hyperlink>
      <w:r>
        <w:rPr>
          <w:lang w:val="en"/>
        </w:rPr>
        <w:t xml:space="preserve">.</w:t>
      </w:r>
    </w:p>
    <w:bookmarkStart w:id="123" w:name="Xec1013a886a548a0455ff3bc5dfcd73a3bad5d4"/>
    <w:p>
      <w:pPr>
        <w:pStyle w:val="Heading4"/>
      </w:pPr>
      <w:r>
        <w:rPr>
          <w:lang w:val="en"/>
        </w:rPr>
        <w:t xml:space="preserve">3.5.4</w:t>
      </w:r>
      <w:r>
        <w:rPr>
          <w:lang w:val="en"/>
        </w:rPr>
        <w:t xml:space="preserve"> </w:t>
      </w:r>
      <w:r>
        <w:rPr>
          <w:lang w:val="en"/>
        </w:rPr>
        <w:t xml:space="preserve">Oil and Chemical Spills</w:t>
      </w:r>
    </w:p>
    <w:p>
      <w:pPr>
        <w:pStyle w:val="FirstParagraph"/>
      </w:pPr>
      <w:hyperlink w:anchor="Xec1013a886a548a0455ff3bc5dfcd73a3bad5d4">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“3.5.4 Oil and Chemical Spills”</w:t>
        </w:r>
      </w:hyperlink>
    </w:p>
    <w:bookmarkEnd w:id="123"/>
    <w:p>
      <w:pPr>
        <w:pStyle w:val="BodyText"/>
      </w:pPr>
      <w:r>
        <w:rPr>
          <w:lang w:val="en"/>
        </w:rPr>
        <w:t xml:space="preserve">¶1</w:t>
      </w:r>
      <w:r>
        <w:rPr>
          <w:lang w:val="en"/>
        </w:rPr>
        <w:t xml:space="preserve"> </w:t>
      </w:r>
      <w:r>
        <w:rPr>
          <w:lang w:val="en"/>
        </w:rPr>
        <w:t xml:space="preserve">Despite improved safety, shipping remains a source of marine pollution from accidental and operational discharges.</w:t>
      </w:r>
      <w:hyperlink w:anchor="user-content-fn-36">
        <w:r>
          <w:rPr>
            <w:rStyle w:val="Hyperlink"/>
            <w:vertAlign w:val="superscript"/>
            <w:lang w:val="en"/>
          </w:rPr>
          <w:t xml:space="preserve">43</w:t>
        </w:r>
      </w:hyperlink>
    </w:p>
    <w:p>
      <w:pPr>
        <w:pStyle w:val="BodyText"/>
      </w:pPr>
      <w:r>
        <w:rPr>
          <w:lang w:val="en"/>
        </w:rPr>
        <w:t xml:space="preserve">¶2</w:t>
      </w:r>
      <w:r>
        <w:rPr>
          <w:lang w:val="en"/>
        </w:rPr>
        <w:t xml:space="preserve"> </w:t>
      </w:r>
      <w:r>
        <w:rPr>
          <w:bCs/>
          <w:b/>
          <w:lang w:val="en"/>
        </w:rPr>
        <w:t xml:space="preserve">Accounting elements:</w:t>
      </w:r>
    </w:p>
    <w:p>
      <w:pPr>
        <w:numPr>
          <w:ilvl w:val="0"/>
          <w:numId w:val="1024"/>
        </w:numPr>
        <w:pStyle w:val="Compact"/>
      </w:pPr>
      <w:r>
        <w:rPr>
          <w:lang w:val="en"/>
        </w:rPr>
        <w:t xml:space="preserve">¶3</w:t>
      </w:r>
      <w:r>
        <w:rPr>
          <w:lang w:val="en"/>
        </w:rPr>
        <w:t xml:space="preserve"> </w:t>
      </w:r>
      <w:r>
        <w:rPr>
          <w:lang w:val="en"/>
        </w:rPr>
        <w:t xml:space="preserve">Spill volume and substance type</w:t>
      </w:r>
    </w:p>
    <w:p>
      <w:pPr>
        <w:numPr>
          <w:ilvl w:val="0"/>
          <w:numId w:val="1024"/>
        </w:numPr>
        <w:pStyle w:val="Compact"/>
      </w:pPr>
      <w:r>
        <w:rPr>
          <w:lang w:val="en"/>
        </w:rPr>
        <w:t xml:space="preserve">¶4</w:t>
      </w:r>
      <w:r>
        <w:rPr>
          <w:lang w:val="en"/>
        </w:rPr>
        <w:t xml:space="preserve"> </w:t>
      </w:r>
      <w:r>
        <w:rPr>
          <w:lang w:val="en"/>
        </w:rPr>
        <w:t xml:space="preserve">Location and environmental sensitivity</w:t>
      </w:r>
    </w:p>
    <w:p>
      <w:pPr>
        <w:numPr>
          <w:ilvl w:val="0"/>
          <w:numId w:val="1024"/>
        </w:numPr>
        <w:pStyle w:val="Compact"/>
      </w:pPr>
      <w:r>
        <w:rPr>
          <w:lang w:val="en"/>
        </w:rPr>
        <w:t xml:space="preserve">¶5</w:t>
      </w:r>
      <w:r>
        <w:rPr>
          <w:lang w:val="en"/>
        </w:rPr>
        <w:t xml:space="preserve"> </w:t>
      </w:r>
      <w:r>
        <w:rPr>
          <w:lang w:val="en"/>
        </w:rPr>
        <w:t xml:space="preserve">Response costs</w:t>
      </w:r>
    </w:p>
    <w:p>
      <w:pPr>
        <w:numPr>
          <w:ilvl w:val="0"/>
          <w:numId w:val="1024"/>
        </w:numPr>
        <w:pStyle w:val="Compact"/>
      </w:pPr>
      <w:r>
        <w:rPr>
          <w:lang w:val="en"/>
        </w:rPr>
        <w:t xml:space="preserve">¶6</w:t>
      </w:r>
      <w:r>
        <w:rPr>
          <w:lang w:val="en"/>
        </w:rPr>
        <w:t xml:space="preserve"> </w:t>
      </w:r>
      <w:r>
        <w:rPr>
          <w:lang w:val="en"/>
        </w:rPr>
        <w:t xml:space="preserve">Natural resource damage assessments</w:t>
      </w:r>
    </w:p>
    <w:p>
      <w:pPr>
        <w:numPr>
          <w:ilvl w:val="0"/>
          <w:numId w:val="1024"/>
        </w:numPr>
        <w:pStyle w:val="Compact"/>
      </w:pPr>
      <w:r>
        <w:rPr>
          <w:lang w:val="en"/>
        </w:rPr>
        <w:t xml:space="preserve">¶7</w:t>
      </w:r>
      <w:r>
        <w:rPr>
          <w:lang w:val="en"/>
        </w:rPr>
        <w:t xml:space="preserve"> </w:t>
      </w:r>
      <w:r>
        <w:rPr>
          <w:lang w:val="en"/>
        </w:rPr>
        <w:t xml:space="preserve">Linkage to SEEA pollution flow accounts (</w:t>
      </w:r>
      <w:hyperlink r:id="rId33">
        <w:r>
          <w:rPr>
            <w:rStyle w:val="Hyperlink"/>
            <w:bCs/>
            <w:b/>
            <w:lang w:val="en"/>
          </w:rPr>
          <w:t xml:space="preserve">TG-3.4 Flows from Economy to Environment</w:t>
        </w:r>
      </w:hyperlink>
      <w:r>
        <w:rPr>
          <w:lang w:val="en"/>
        </w:rPr>
        <w:t xml:space="preserve">)</w:t>
      </w:r>
    </w:p>
    <w:p>
      <w:pPr>
        <w:pStyle w:val="FirstParagraph"/>
      </w:pPr>
      <w:r>
        <w:rPr>
          <w:lang w:val="en"/>
        </w:rPr>
        <w:t xml:space="preserve">¶8</w:t>
      </w:r>
      <w:r>
        <w:rPr>
          <w:lang w:val="en"/>
        </w:rPr>
        <w:t xml:space="preserve"> </w:t>
      </w:r>
      <w:r>
        <w:rPr>
          <w:lang w:val="en"/>
        </w:rPr>
        <w:t xml:space="preserve">Operational discharges (bilge water, cargo residues) remain a persistent source of chronic pollution that should be captured in flow accounts alongside acute events.</w:t>
      </w:r>
    </w:p>
    <w:p>
      <w:r>
        <w:pict>
          <v:rect style="width:0;height:1.5pt" o:hralign="center" o:hrstd="t" o:hr="t"/>
        </w:pict>
      </w:r>
    </w:p>
    <w:bookmarkStart w:id="126" w:name="Xaa7e7508f2717a81854ce2b802558e8a9df3647"/>
    <w:p>
      <w:pPr>
        <w:pStyle w:val="Heading3"/>
      </w:pPr>
      <w:r>
        <w:rPr>
          <w:lang w:val="en"/>
        </w:rPr>
        <w:t xml:space="preserve">3.6</w:t>
      </w:r>
      <w:r>
        <w:rPr>
          <w:lang w:val="en"/>
        </w:rPr>
        <w:t xml:space="preserve"> </w:t>
      </w:r>
      <w:r>
        <w:rPr>
          <w:lang w:val="en"/>
        </w:rPr>
        <w:t xml:space="preserve">Compilation Procedure: Maritime Transport Supply-Use Table</w:t>
      </w:r>
    </w:p>
    <w:p>
      <w:pPr>
        <w:pStyle w:val="FirstParagraph"/>
      </w:pPr>
      <w:hyperlink w:anchor="Xaa7e7508f2717a81854ce2b802558e8a9df3647">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Compilation Procedure: Maritime Transport Supply-Use Table”</w:t>
        </w:r>
      </w:hyperlink>
    </w:p>
    <w:bookmarkEnd w:id="126"/>
    <w:p>
      <w:pPr>
        <w:pStyle w:val="BodyText"/>
      </w:pPr>
      <w:r>
        <w:rPr>
          <w:lang w:val="en"/>
        </w:rPr>
        <w:t xml:space="preserve">¶1</w:t>
      </w:r>
      <w:r>
        <w:rPr>
          <w:lang w:val="en"/>
        </w:rPr>
        <w:t xml:space="preserve"> </w:t>
      </w:r>
      <w:r>
        <w:rPr>
          <w:lang w:val="en"/>
        </w:rPr>
        <w:t xml:space="preserve">Compiling maritime transport accounts follows a systematic procedure for extracting maritime transport sub-matrices from national supply and use tables, adapted from SNA 2025 Chapter 15 and the ocean economy thematic account compilation approach in</w:t>
      </w:r>
      <w:r>
        <w:rPr>
          <w:lang w:val="en"/>
        </w:rPr>
        <w:t xml:space="preserve"> </w:t>
      </w:r>
      <w:hyperlink r:id="rId32">
        <w:r>
          <w:rPr>
            <w:rStyle w:val="Hyperlink"/>
            <w:bCs/>
            <w:b/>
            <w:lang w:val="en"/>
          </w:rPr>
          <w:t xml:space="preserve">TG-3.3 Economic Activity Relevant to the Ocean</w:t>
        </w:r>
      </w:hyperlink>
      <w:r>
        <w:rPr>
          <w:lang w:val="en"/>
        </w:rPr>
        <w:t xml:space="preserve"> </w:t>
      </w:r>
      <w:r>
        <w:rPr>
          <w:lang w:val="en"/>
        </w:rPr>
        <w:t xml:space="preserve">Section 3.4.</w:t>
      </w:r>
      <w:hyperlink w:anchor="user-content-fn-37">
        <w:r>
          <w:rPr>
            <w:rStyle w:val="Hyperlink"/>
            <w:vertAlign w:val="superscript"/>
            <w:lang w:val="en"/>
          </w:rPr>
          <w:t xml:space="preserve">44</w:t>
        </w:r>
      </w:hyperlink>
    </w:p>
    <w:bookmarkStart w:id="129" w:name="step-by-step-compilation"/>
    <w:p>
      <w:pPr>
        <w:pStyle w:val="Heading4"/>
      </w:pPr>
      <w:r>
        <w:rPr>
          <w:lang w:val="en"/>
        </w:rPr>
        <w:t xml:space="preserve">Step-by-step compilation</w:t>
      </w:r>
    </w:p>
    <w:p>
      <w:pPr>
        <w:pStyle w:val="FirstParagraph"/>
      </w:pPr>
      <w:hyperlink w:anchor="step-by-step-compilation">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“Step-by-step compilation”</w:t>
        </w:r>
      </w:hyperlink>
    </w:p>
    <w:bookmarkEnd w:id="129"/>
    <w:p>
      <w:pPr>
        <w:pStyle w:val="BodyText"/>
      </w:pPr>
      <w:r>
        <w:rPr>
          <w:lang w:val="en"/>
        </w:rPr>
        <w:t xml:space="preserve">¶1</w:t>
      </w:r>
      <w:r>
        <w:rPr>
          <w:lang w:val="en"/>
        </w:rPr>
        <w:t xml:space="preserve"> </w:t>
      </w:r>
      <w:r>
        <w:rPr>
          <w:bCs/>
          <w:b/>
          <w:lang w:val="en"/>
        </w:rPr>
        <w:t xml:space="preserve">Step 1: Identify maritime transport industries by ISIC code.</w:t>
      </w:r>
      <w:r>
        <w:rPr>
          <w:lang w:val="en"/>
        </w:rPr>
        <w:t xml:space="preserve"> </w:t>
      </w:r>
      <w:r>
        <w:rPr>
          <w:lang w:val="en"/>
        </w:rPr>
        <w:t xml:space="preserve">Using Table 3.1.1, identify all ISIC classes constituting maritime transport: Division 50, Class 5222, Class 5224 (port portion), and related industries. For each class, determine whether it is wholly maritime-related (ocean ratio = 1.0) or partially maritime-related (ocean ratio &lt; 1.0).</w:t>
      </w:r>
    </w:p>
    <w:p>
      <w:pPr>
        <w:pStyle w:val="BodyText"/>
      </w:pPr>
      <w:r>
        <w:rPr>
          <w:lang w:val="en"/>
        </w:rPr>
        <w:t xml:space="preserve">¶2</w:t>
      </w:r>
      <w:r>
        <w:rPr>
          <w:lang w:val="en"/>
        </w:rPr>
        <w:t xml:space="preserve"> </w:t>
      </w:r>
      <w:r>
        <w:rPr>
          <w:bCs/>
          <w:b/>
          <w:lang w:val="en"/>
        </w:rPr>
        <w:t xml:space="preserve">Step 2: Extract maritime transport sub-matrices from national SUTs.</w:t>
      </w:r>
      <w:r>
        <w:rPr>
          <w:lang w:val="en"/>
        </w:rPr>
        <w:t xml:space="preserve"> </w:t>
      </w:r>
      <w:r>
        <w:rPr>
          <w:lang w:val="en"/>
        </w:rPr>
        <w:t xml:space="preserve">From the balanced national supply and use tables, extract columns corresponding to maritime transport industries to create a maritime transport supply table and use table.</w:t>
      </w:r>
    </w:p>
    <w:p>
      <w:pPr>
        <w:pStyle w:val="BodyText"/>
      </w:pPr>
      <w:r>
        <w:rPr>
          <w:lang w:val="en"/>
        </w:rPr>
        <w:t xml:space="preserve">¶3</w:t>
      </w:r>
      <w:r>
        <w:rPr>
          <w:lang w:val="en"/>
        </w:rPr>
        <w:t xml:space="preserve"> </w:t>
      </w:r>
      <w:r>
        <w:rPr>
          <w:iCs/>
          <w:i/>
          <w:lang w:val="en"/>
        </w:rPr>
        <w:t xml:space="preserve">Excluding non-resident enterprise output.</w:t>
      </w:r>
      <w:r>
        <w:rPr>
          <w:lang w:val="en"/>
        </w:rPr>
        <w:t xml:space="preserve"> </w:t>
      </w:r>
      <w:r>
        <w:rPr>
          <w:lang w:val="en"/>
        </w:rPr>
        <w:t xml:space="preserve">For countries that are major port hubs or transshipment centres, maritime transport columns may include services provided by non-resident enterprises. The residence principle requires excluding non-resident maritime output before deriving GVA. Practical data sources include balance of payments supplementary data on transportation services and port authority records of vessel nationality and operator residence. Cross-reference BPM6 paragraphs 10.73—10.88 on transportation services.</w:t>
      </w:r>
      <w:hyperlink w:anchor="user-content-fn-37a">
        <w:r>
          <w:rPr>
            <w:rStyle w:val="Hyperlink"/>
            <w:vertAlign w:val="superscript"/>
            <w:lang w:val="en"/>
          </w:rPr>
          <w:t xml:space="preserve">45</w:t>
        </w:r>
      </w:hyperlink>
    </w:p>
    <w:p>
      <w:pPr>
        <w:pStyle w:val="BodyText"/>
      </w:pPr>
      <w:r>
        <w:rPr>
          <w:lang w:val="en"/>
        </w:rPr>
        <w:t xml:space="preserve">¶4</w:t>
      </w:r>
      <w:r>
        <w:rPr>
          <w:lang w:val="en"/>
        </w:rPr>
        <w:t xml:space="preserve"> </w:t>
      </w:r>
      <w:r>
        <w:rPr>
          <w:bCs/>
          <w:b/>
          <w:lang w:val="en"/>
        </w:rPr>
        <w:t xml:space="preserve">Step 3: Determine the maritime share for mixed industries.</w:t>
      </w:r>
      <w:r>
        <w:rPr>
          <w:lang w:val="en"/>
        </w:rPr>
        <w:t xml:space="preserve"> </w:t>
      </w:r>
      <w:r>
        <w:rPr>
          <w:lang w:val="en"/>
        </w:rPr>
        <w:t xml:space="preserve">For partially maritime-related industries, estimate the share of output attributable to maritime activity. For Class 5224 (Cargo Handling), the 0.70 ratio used in Section 3.7 is illustrative, and compilers must derive their own country-specific ratio from primary data. At least one of the following methods must be documented in metadata: (a)</w:t>
      </w:r>
      <w:r>
        <w:rPr>
          <w:lang w:val="en"/>
        </w:rPr>
        <w:t xml:space="preserve"> </w:t>
      </w:r>
      <w:r>
        <w:rPr>
          <w:iCs/>
          <w:i/>
          <w:lang w:val="en"/>
        </w:rPr>
        <w:t xml:space="preserve">Revenue-based split</w:t>
      </w:r>
      <w:r>
        <w:rPr>
          <w:lang w:val="en"/>
        </w:rPr>
        <w:t xml:space="preserve">: share of cargo handling revenue attributable to seaport establishments from structural business surveys or port authority financial accounts. (b)</w:t>
      </w:r>
      <w:r>
        <w:rPr>
          <w:lang w:val="en"/>
        </w:rPr>
        <w:t xml:space="preserve"> </w:t>
      </w:r>
      <w:r>
        <w:rPr>
          <w:iCs/>
          <w:i/>
          <w:lang w:val="en"/>
        </w:rPr>
        <w:t xml:space="preserve">Physical-unit split</w:t>
      </w:r>
      <w:r>
        <w:rPr>
          <w:lang w:val="en"/>
        </w:rPr>
        <w:t xml:space="preserve">: seaport cargo handling tonnes as a share of total cargo handling tonnes from port authority and customs statistics. Where neither method is feasible, apply a sensitivity analysis around the assumed ratio and report the range of resulting GVA estimates in metadata.</w:t>
      </w:r>
    </w:p>
    <w:p>
      <w:pPr>
        <w:pStyle w:val="BodyText"/>
      </w:pPr>
      <w:r>
        <w:rPr>
          <w:lang w:val="en"/>
        </w:rPr>
        <w:t xml:space="preserve">¶5</w:t>
      </w:r>
      <w:r>
        <w:rPr>
          <w:lang w:val="en"/>
        </w:rPr>
        <w:t xml:space="preserve"> </w:t>
      </w:r>
      <w:r>
        <w:rPr>
          <w:bCs/>
          <w:b/>
          <w:lang w:val="en"/>
        </w:rPr>
        <w:t xml:space="preserve">Step 4: Calculate Maritime Transport Direct GVA.</w:t>
      </w:r>
      <w:r>
        <w:rPr>
          <w:lang w:val="en"/>
        </w:rPr>
        <w:t xml:space="preserve"> </w:t>
      </w:r>
      <w:r>
        <w:rPr>
          <w:lang w:val="en"/>
        </w:rPr>
        <w:t xml:space="preserve">For each maritime industry, multiply the industry’s gross value added from the Use Table by its maritime ratio:</w:t>
      </w:r>
    </w:p>
    <w:p>
      <w:pPr>
        <w:pStyle w:val="BodyText"/>
      </w:pPr>
      <w:r>
        <w:rPr>
          <w:lang w:val="en"/>
        </w:rPr>
        <w:t xml:space="preserve">¶6</w:t>
      </w:r>
      <w:r>
        <w:rPr>
          <w:lang w:val="en"/>
        </w:rPr>
        <w:t xml:space="preserve"> </w:t>
      </w:r>
      <m:oMathPara>
        <m:oMathParaPr>
          <m:jc m:val="center"/>
        </m:oMathParaPr>
        <m:oMath>
          <m:r>
            <m:rPr>
              <m:nor/>
              <m:sty m:val="p"/>
            </m:rPr>
            <m:t>Maritime Transport Direct GVA</m:t>
          </m:r>
          <m:r>
            <m:rPr>
              <m:sty m:val="p"/>
            </m:rPr>
            <m:t>=</m:t>
          </m:r>
          <m:nary>
            <m:naryPr>
              <m:chr m:val="∑"/>
              <m:limLoc m:val="undOvr"/>
              <m:subHide m:val="off"/>
              <m:supHide m:val="on"/>
            </m:naryPr>
            <m:sub>
              <m:r>
                <m:t>i</m:t>
              </m:r>
            </m:sub>
            <m:sup>
              <m:r>
                <m:t>​</m:t>
              </m:r>
            </m:sup>
            <m:e>
              <m:d>
                <m:dPr>
                  <m:begChr m:val="("/>
                  <m:endChr m:val=")"/>
                  <m:sepChr m:val=""/>
                  <m:grow/>
                </m:dPr>
                <m:e>
                  <m:sSub>
                    <m:e>
                      <m:r>
                        <m:rPr>
                          <m:nor/>
                          <m:sty m:val="p"/>
                        </m:rPr>
                        <m:t>GVA</m:t>
                      </m:r>
                    </m:e>
                    <m:sub>
                      <m:r>
                        <m:t>i</m:t>
                      </m:r>
                    </m:sub>
                  </m:sSub>
                  <m:r>
                    <m:rPr>
                      <m:sty m:val="p"/>
                    </m:rPr>
                    <m:t>×</m:t>
                  </m:r>
                  <m:sSub>
                    <m:e>
                      <m:r>
                        <m:rPr>
                          <m:nor/>
                          <m:sty m:val="p"/>
                        </m:rPr>
                        <m:t>Maritime ratio</m:t>
                      </m:r>
                    </m:e>
                    <m:sub>
                      <m:r>
                        <m:t>i</m:t>
                      </m:r>
                    </m:sub>
                  </m:sSub>
                </m:e>
              </m:d>
            </m:e>
          </m:nary>
        </m:oMath>
      </m:oMathPara>
      <w:r>
        <w:rPr>
          <w:lang w:val="en"/>
        </w:rPr>
        <w:t xml:space="preserve">Maritime Transport Direct GVA</w:t>
      </w:r>
      <w:r>
        <w:rPr>
          <w:lang w:val="en"/>
        </w:rPr>
        <w:t xml:space="preserve">=</w:t>
      </w:r>
      <w:r>
        <w:rPr>
          <w:lang w:val="en"/>
        </w:rPr>
        <w:t xml:space="preserve">i</w:t>
      </w:r>
      <w:r>
        <w:rPr>
          <w:lang w:val="en"/>
        </w:rPr>
        <w:t xml:space="preserve">∑</w:t>
      </w:r>
      <w:r>
        <w:rPr>
          <w:lang w:val="en"/>
        </w:rPr>
        <w:t xml:space="preserve">​</w:t>
      </w:r>
      <w:r>
        <w:rPr>
          <w:lang w:val="en"/>
        </w:rPr>
        <w:t xml:space="preserve">(</w:t>
      </w:r>
      <w:r>
        <w:rPr>
          <w:lang w:val="en"/>
        </w:rPr>
        <w:t xml:space="preserve">GVA</w:t>
      </w:r>
      <w:r>
        <w:rPr>
          <w:lang w:val="en"/>
        </w:rPr>
        <w:t xml:space="preserve">i</w:t>
      </w:r>
      <w:r>
        <w:rPr>
          <w:lang w:val="en"/>
        </w:rPr>
        <w:t xml:space="preserve">​</w:t>
      </w:r>
      <w:r>
        <w:rPr>
          <w:lang w:val="en"/>
        </w:rPr>
        <w:t xml:space="preserve">×</w:t>
      </w:r>
      <w:r>
        <w:rPr>
          <w:lang w:val="en"/>
        </w:rPr>
        <w:t xml:space="preserve">Maritime ratio</w:t>
      </w:r>
      <w:r>
        <w:rPr>
          <w:lang w:val="en"/>
        </w:rPr>
        <w:t xml:space="preserve">i</w:t>
      </w:r>
      <w:r>
        <w:rPr>
          <w:lang w:val="en"/>
        </w:rPr>
        <w:t xml:space="preserve">​</w:t>
      </w:r>
      <w:r>
        <w:rPr>
          <w:lang w:val="en"/>
        </w:rPr>
        <w:t xml:space="preserve">)</w:t>
      </w:r>
    </w:p>
    <w:p>
      <w:pPr>
        <w:pStyle w:val="FirstParagraph"/>
      </w:pPr>
      <w:r>
        <w:rPr>
          <w:lang w:val="en"/>
        </w:rPr>
        <w:t xml:space="preserve">¶7</w:t>
      </w:r>
      <w:r>
        <w:rPr>
          <w:lang w:val="en"/>
        </w:rPr>
        <w:t xml:space="preserve"> </w:t>
      </w:r>
      <w:r>
        <w:rPr>
          <w:bCs/>
          <w:b/>
          <w:lang w:val="en"/>
        </w:rPr>
        <w:t xml:space="preserve">Step 5: Compile employment accounts.</w:t>
      </w:r>
      <w:r>
        <w:rPr>
          <w:lang w:val="en"/>
        </w:rPr>
        <w:t xml:space="preserve"> </w:t>
      </w:r>
      <w:r>
        <w:rPr>
          <w:lang w:val="en"/>
        </w:rPr>
        <w:t xml:space="preserve">Using labour input rows from the Use Table, calculate maritime transport employment by applying the same maritime ratios to employment data by industry.</w:t>
      </w:r>
    </w:p>
    <w:p>
      <w:pPr>
        <w:pStyle w:val="BodyText"/>
      </w:pPr>
      <w:r>
        <w:rPr>
          <w:lang w:val="en"/>
        </w:rPr>
        <w:t xml:space="preserve">¶8</w:t>
      </w:r>
      <w:r>
        <w:rPr>
          <w:lang w:val="en"/>
        </w:rPr>
        <w:t xml:space="preserve"> </w:t>
      </w:r>
      <w:r>
        <w:rPr>
          <w:bCs/>
          <w:b/>
          <w:lang w:val="en"/>
        </w:rPr>
        <w:t xml:space="preserve">Step 6: Derive trade flow indicators.</w:t>
      </w:r>
      <w:r>
        <w:rPr>
          <w:lang w:val="en"/>
        </w:rPr>
        <w:t xml:space="preserve"> </w:t>
      </w:r>
      <w:r>
        <w:rPr>
          <w:lang w:val="en"/>
        </w:rPr>
        <w:t xml:space="preserve">From the Exports column in the Use Table, sum across maritime transport service products to calculate maritime transport service exports. From customs data, compile merchandise trade volumes and values passing through ports.</w:t>
      </w:r>
    </w:p>
    <w:p>
      <w:pPr>
        <w:pStyle w:val="BodyText"/>
      </w:pPr>
      <w:r>
        <w:rPr>
          <w:lang w:val="en"/>
        </w:rPr>
        <w:t xml:space="preserve">¶9</w:t>
      </w:r>
      <w:r>
        <w:rPr>
          <w:lang w:val="en"/>
        </w:rPr>
        <w:t xml:space="preserve"> </w:t>
      </w:r>
      <w:r>
        <w:rPr>
          <w:bCs/>
          <w:b/>
          <w:lang w:val="en"/>
        </w:rPr>
        <w:t xml:space="preserve">Step 7: Integrate emissions accounts.</w:t>
      </w:r>
      <w:r>
        <w:rPr>
          <w:lang w:val="en"/>
        </w:rPr>
        <w:t xml:space="preserve"> </w:t>
      </w:r>
      <w:r>
        <w:rPr>
          <w:lang w:val="en"/>
        </w:rPr>
        <w:t xml:space="preserve">Using the emissions calculation methods in Section 3.3, compile air emissions by maritime transport industries from national air emissions accounts, ensuring consistency with GVA and activity data in the maritime transport SUTs.</w:t>
      </w:r>
    </w:p>
    <w:bookmarkStart w:id="132" w:name="data-sources"/>
    <w:p>
      <w:pPr>
        <w:pStyle w:val="Heading4"/>
      </w:pPr>
      <w:r>
        <w:rPr>
          <w:lang w:val="en"/>
        </w:rPr>
        <w:t xml:space="preserve">Data sources</w:t>
      </w:r>
    </w:p>
    <w:p>
      <w:pPr>
        <w:pStyle w:val="FirstParagraph"/>
      </w:pPr>
      <w:hyperlink w:anchor="data-sources">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sources”</w:t>
        </w:r>
      </w:hyperlink>
    </w:p>
    <w:bookmarkEnd w:id="132"/>
    <w:p>
      <w:pPr>
        <w:pStyle w:val="BodyText"/>
      </w:pPr>
      <w:r>
        <w:rPr>
          <w:lang w:val="en"/>
        </w:rPr>
        <w:t xml:space="preserve">¶1</w:t>
      </w:r>
      <w:r>
        <w:rPr>
          <w:lang w:val="en"/>
        </w:rPr>
        <w:t xml:space="preserve"> </w:t>
      </w:r>
      <w:r>
        <w:rPr>
          <w:lang w:val="en"/>
        </w:rPr>
        <w:t xml:space="preserve">Key data sources for maritime transport account compilation:</w:t>
      </w:r>
      <w:hyperlink w:anchor="user-content-fn-38">
        <w:r>
          <w:rPr>
            <w:rStyle w:val="Hyperlink"/>
            <w:vertAlign w:val="superscript"/>
            <w:lang w:val="en"/>
          </w:rPr>
          <w:t xml:space="preserve">46</w:t>
        </w:r>
      </w:hyperlink>
    </w:p>
    <w:p>
      <w:pPr>
        <w:numPr>
          <w:ilvl w:val="0"/>
          <w:numId w:val="1025"/>
        </w:numPr>
        <w:pStyle w:val="Compact"/>
      </w:pPr>
      <w:r>
        <w:rPr>
          <w:lang w:val="en"/>
        </w:rPr>
        <w:t xml:space="preserve">¶2</w:t>
      </w:r>
      <w:r>
        <w:rPr>
          <w:lang w:val="en"/>
        </w:rPr>
        <w:t xml:space="preserve"> </w:t>
      </w:r>
      <w:r>
        <w:rPr>
          <w:lang w:val="en"/>
        </w:rPr>
        <w:t xml:space="preserve">National supply and use tables (primary source for GVA and output)</w:t>
      </w:r>
    </w:p>
    <w:p>
      <w:pPr>
        <w:numPr>
          <w:ilvl w:val="0"/>
          <w:numId w:val="1025"/>
        </w:numPr>
        <w:pStyle w:val="Compact"/>
      </w:pPr>
      <w:r>
        <w:rPr>
          <w:lang w:val="en"/>
        </w:rPr>
        <w:t xml:space="preserve">¶3</w:t>
      </w:r>
      <w:r>
        <w:rPr>
          <w:lang w:val="en"/>
        </w:rPr>
        <w:t xml:space="preserve"> </w:t>
      </w:r>
      <w:r>
        <w:rPr>
          <w:lang w:val="en"/>
        </w:rPr>
        <w:t xml:space="preserve">Port authority statistical reports (cargo volumes, vessel calls, employment)</w:t>
      </w:r>
    </w:p>
    <w:p>
      <w:pPr>
        <w:numPr>
          <w:ilvl w:val="0"/>
          <w:numId w:val="1025"/>
        </w:numPr>
        <w:pStyle w:val="Compact"/>
      </w:pPr>
      <w:r>
        <w:rPr>
          <w:lang w:val="en"/>
        </w:rPr>
        <w:t xml:space="preserve">¶4</w:t>
      </w:r>
      <w:r>
        <w:rPr>
          <w:lang w:val="en"/>
        </w:rPr>
        <w:t xml:space="preserve"> </w:t>
      </w:r>
      <w:r>
        <w:rPr>
          <w:lang w:val="en"/>
        </w:rPr>
        <w:t xml:space="preserve">Maritime administration records (vessel registries, seafarer certification)</w:t>
      </w:r>
    </w:p>
    <w:p>
      <w:pPr>
        <w:numPr>
          <w:ilvl w:val="0"/>
          <w:numId w:val="1025"/>
        </w:numPr>
        <w:pStyle w:val="Compact"/>
      </w:pPr>
      <w:r>
        <w:rPr>
          <w:lang w:val="en"/>
        </w:rPr>
        <w:t xml:space="preserve">¶5</w:t>
      </w:r>
      <w:r>
        <w:rPr>
          <w:lang w:val="en"/>
        </w:rPr>
        <w:t xml:space="preserve"> </w:t>
      </w:r>
      <w:r>
        <w:rPr>
          <w:lang w:val="en"/>
        </w:rPr>
        <w:t xml:space="preserve">Structural business surveys (port and shipping company financial data)</w:t>
      </w:r>
    </w:p>
    <w:p>
      <w:pPr>
        <w:numPr>
          <w:ilvl w:val="0"/>
          <w:numId w:val="1025"/>
        </w:numPr>
        <w:pStyle w:val="Compact"/>
      </w:pPr>
      <w:r>
        <w:rPr>
          <w:lang w:val="en"/>
        </w:rPr>
        <w:t xml:space="preserve">¶6</w:t>
      </w:r>
      <w:r>
        <w:rPr>
          <w:lang w:val="en"/>
        </w:rPr>
        <w:t xml:space="preserve"> </w:t>
      </w:r>
      <w:r>
        <w:rPr>
          <w:lang w:val="en"/>
        </w:rPr>
        <w:t xml:space="preserve">Customs declarations (trade values and volumes)</w:t>
      </w:r>
    </w:p>
    <w:p>
      <w:pPr>
        <w:numPr>
          <w:ilvl w:val="0"/>
          <w:numId w:val="1025"/>
        </w:numPr>
        <w:pStyle w:val="Compact"/>
      </w:pPr>
      <w:r>
        <w:rPr>
          <w:lang w:val="en"/>
        </w:rPr>
        <w:t xml:space="preserve">¶7</w:t>
      </w:r>
      <w:r>
        <w:rPr>
          <w:lang w:val="en"/>
        </w:rPr>
        <w:t xml:space="preserve"> </w:t>
      </w:r>
      <w:r>
        <w:rPr>
          <w:lang w:val="en"/>
        </w:rPr>
        <w:t xml:space="preserve">AIS tracking data (vessel activity, voyage data)</w:t>
      </w:r>
    </w:p>
    <w:p>
      <w:pPr>
        <w:numPr>
          <w:ilvl w:val="0"/>
          <w:numId w:val="1025"/>
        </w:numPr>
        <w:pStyle w:val="Compact"/>
      </w:pPr>
      <w:r>
        <w:rPr>
          <w:lang w:val="en"/>
        </w:rPr>
        <w:t xml:space="preserve">¶8</w:t>
      </w:r>
      <w:r>
        <w:rPr>
          <w:lang w:val="en"/>
        </w:rPr>
        <w:t xml:space="preserve"> </w:t>
      </w:r>
      <w:r>
        <w:rPr>
          <w:lang w:val="en"/>
        </w:rPr>
        <w:t xml:space="preserve">Fuel sales records (maritime fuel consumption for emissions)</w:t>
      </w:r>
    </w:p>
    <w:p>
      <w:pPr>
        <w:numPr>
          <w:ilvl w:val="0"/>
          <w:numId w:val="1025"/>
        </w:numPr>
        <w:pStyle w:val="Compact"/>
      </w:pPr>
      <w:r>
        <w:rPr>
          <w:lang w:val="en"/>
        </w:rPr>
        <w:t xml:space="preserve">¶9</w:t>
      </w:r>
      <w:r>
        <w:rPr>
          <w:lang w:val="en"/>
        </w:rPr>
        <w:t xml:space="preserve"> </w:t>
      </w:r>
      <w:r>
        <w:rPr>
          <w:lang w:val="en"/>
        </w:rPr>
        <w:t xml:space="preserve">Balance of payments transport services supplementary data (for resident/non-resident enterprise attribution)</w:t>
      </w:r>
    </w:p>
    <w:p>
      <w:r>
        <w:pict>
          <v:rect style="width:0;height:1.5pt" o:hralign="center" o:hrstd="t" o:hr="t"/>
        </w:pict>
      </w:r>
    </w:p>
    <w:bookmarkStart w:id="135" w:name="X88a2f6bfbb793328d9f7a9c3a815328e8b0d127"/>
    <w:p>
      <w:pPr>
        <w:pStyle w:val="Heading3"/>
      </w:pPr>
      <w:r>
        <w:rPr>
          <w:lang w:val="en"/>
        </w:rPr>
        <w:t xml:space="preserve">3.7</w:t>
      </w:r>
      <w:r>
        <w:rPr>
          <w:lang w:val="en"/>
        </w:rPr>
        <w:t xml:space="preserve"> </w:t>
      </w:r>
      <w:r>
        <w:rPr>
          <w:lang w:val="en"/>
        </w:rPr>
        <w:t xml:space="preserve">Worked Example: Synthetic Port/Shipping Account</w:t>
      </w:r>
    </w:p>
    <w:p>
      <w:pPr>
        <w:pStyle w:val="FirstParagraph"/>
      </w:pPr>
      <w:hyperlink w:anchor="X88a2f6bfbb793328d9f7a9c3a815328e8b0d127">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 Synthetic Port/Shipping Account”</w:t>
        </w:r>
      </w:hyperlink>
    </w:p>
    <w:bookmarkEnd w:id="135"/>
    <w:p>
      <w:pPr>
        <w:pStyle w:val="BodyText"/>
      </w:pPr>
      <w:r>
        <w:rPr>
          <w:lang w:val="en"/>
        </w:rPr>
        <w:t xml:space="preserve">¶1</w:t>
      </w:r>
      <w:r>
        <w:rPr>
          <w:lang w:val="en"/>
        </w:rPr>
        <w:t xml:space="preserve"> </w:t>
      </w:r>
      <w:r>
        <w:rPr>
          <w:lang w:val="en"/>
        </w:rPr>
        <w:t xml:space="preserve">This section presents a worked example for a synthetic medium-income coastal state (“Country B”) with a total GDP of approximately USD 80 billion, total employment of 15 million persons, and two major ports handling combined cargo volumes of 45 million tonnes per year. The example illustrates the mixed-industry apportionment for ISIC 5224. It applies an illustrative maritime ratio of 0.70.</w:t>
      </w:r>
    </w:p>
    <w:p>
      <w:pPr>
        <w:pStyle w:val="BodyText"/>
      </w:pPr>
      <w:r>
        <w:rPr>
          <w:lang w:val="en"/>
        </w:rPr>
        <w:t xml:space="preserve">¶2</w:t>
      </w:r>
      <w:r>
        <w:rPr>
          <w:lang w:val="en"/>
        </w:rPr>
        <w:t xml:space="preserve"> </w:t>
      </w:r>
      <w:r>
        <w:rPr>
          <w:bCs/>
          <w:b/>
          <w:lang w:val="en"/>
        </w:rPr>
        <w:t xml:space="preserve">Table 3.7.1: Country B Maritime Transport Account — Production Account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Component</w:t>
            </w:r>
          </w:p>
        </w:tc>
        <w:tc>
          <w:tcPr/>
          <w:p>
            <w:pPr>
              <w:pStyle w:val="Compact"/>
              <w:jc w:val="left"/>
            </w:pPr>
            <w:r>
              <w:rPr>
                <w:lang w:val="en"/>
              </w:rPr>
              <w:t xml:space="preserve">ISIC 501 (Sea Transport)</w:t>
            </w:r>
          </w:p>
        </w:tc>
        <w:tc>
          <w:tcPr/>
          <w:p>
            <w:pPr>
              <w:pStyle w:val="Compact"/>
              <w:jc w:val="left"/>
            </w:pPr>
            <w:r>
              <w:rPr>
                <w:lang w:val="en"/>
              </w:rPr>
              <w:t xml:space="preserve">ISIC 5222 (Port Services)</w:t>
            </w:r>
          </w:p>
        </w:tc>
        <w:tc>
          <w:tcPr/>
          <w:p>
            <w:pPr>
              <w:pStyle w:val="Compact"/>
              <w:jc w:val="left"/>
            </w:pPr>
            <w:r>
              <w:rPr>
                <w:lang w:val="en"/>
              </w:rPr>
              <w:t xml:space="preserve">ISIC 5224 (Cargo Handling, 0.70 maritime ratio)</w:t>
            </w:r>
          </w:p>
        </w:tc>
        <w:tc>
          <w:tcPr/>
          <w:p>
            <w:pPr>
              <w:pStyle w:val="Compact"/>
              <w:jc w:val="left"/>
            </w:pPr>
            <w:r>
              <w:rPr>
                <w:lang w:val="en"/>
              </w:rPr>
              <w:t xml:space="preserve">Total Maritime</w:t>
            </w:r>
          </w:p>
        </w:tc>
      </w:tr>
      <w:tr>
        <w:tc>
          <w:tcPr/>
          <w:p>
            <w:pPr>
              <w:pStyle w:val="Compact"/>
              <w:jc w:val="left"/>
            </w:pPr>
            <w:r>
              <w:rPr>
                <w:lang w:val="en"/>
              </w:rPr>
              <w:t xml:space="preserve">Output (P.1)</w:t>
            </w:r>
          </w:p>
        </w:tc>
        <w:tc>
          <w:tcPr/>
          <w:p>
            <w:pPr>
              <w:pStyle w:val="Compact"/>
              <w:jc w:val="left"/>
            </w:pPr>
            <w:r>
              <w:rPr>
                <w:lang w:val="en"/>
              </w:rPr>
              <w:t xml:space="preserve">1,850</w:t>
            </w:r>
          </w:p>
        </w:tc>
        <w:tc>
          <w:tcPr/>
          <w:p>
            <w:pPr>
              <w:pStyle w:val="Compact"/>
              <w:jc w:val="left"/>
            </w:pPr>
            <w:r>
              <w:rPr>
                <w:lang w:val="en"/>
              </w:rPr>
              <w:t xml:space="preserve">680</w:t>
            </w:r>
          </w:p>
        </w:tc>
        <w:tc>
          <w:tcPr/>
          <w:p>
            <w:pPr>
              <w:pStyle w:val="Compact"/>
              <w:jc w:val="left"/>
            </w:pPr>
            <w:r>
              <w:rPr>
                <w:lang w:val="en"/>
              </w:rPr>
              <w:t xml:space="preserve">245</w:t>
            </w:r>
          </w:p>
        </w:tc>
        <w:tc>
          <w:tcPr/>
          <w:p>
            <w:pPr>
              <w:pStyle w:val="Compact"/>
              <w:jc w:val="left"/>
            </w:pPr>
            <w:r>
              <w:rPr>
                <w:lang w:val="en"/>
              </w:rPr>
              <w:t xml:space="preserve">2,775</w:t>
            </w:r>
          </w:p>
        </w:tc>
      </w:tr>
      <w:tr>
        <w:tc>
          <w:tcPr/>
          <w:p>
            <w:pPr>
              <w:pStyle w:val="Compact"/>
              <w:jc w:val="left"/>
            </w:pPr>
            <w:r>
              <w:rPr>
                <w:lang w:val="en"/>
              </w:rPr>
              <w:t xml:space="preserve">Intermediate consumption (P.2)</w:t>
            </w:r>
          </w:p>
        </w:tc>
        <w:tc>
          <w:tcPr/>
          <w:p>
            <w:pPr>
              <w:pStyle w:val="Compact"/>
              <w:jc w:val="left"/>
            </w:pPr>
            <w:r>
              <w:rPr>
                <w:lang w:val="en"/>
              </w:rPr>
              <w:t xml:space="preserve">1,200</w:t>
            </w:r>
          </w:p>
        </w:tc>
        <w:tc>
          <w:tcPr/>
          <w:p>
            <w:pPr>
              <w:pStyle w:val="Compact"/>
              <w:jc w:val="left"/>
            </w:pPr>
            <w:r>
              <w:rPr>
                <w:lang w:val="en"/>
              </w:rPr>
              <w:t xml:space="preserve">380</w:t>
            </w:r>
          </w:p>
        </w:tc>
        <w:tc>
          <w:tcPr/>
          <w:p>
            <w:pPr>
              <w:pStyle w:val="Compact"/>
              <w:jc w:val="left"/>
            </w:pPr>
            <w:r>
              <w:rPr>
                <w:lang w:val="en"/>
              </w:rPr>
              <w:t xml:space="preserve">140</w:t>
            </w:r>
          </w:p>
        </w:tc>
        <w:tc>
          <w:tcPr/>
          <w:p>
            <w:pPr>
              <w:pStyle w:val="Compact"/>
              <w:jc w:val="left"/>
            </w:pPr>
            <w:r>
              <w:rPr>
                <w:lang w:val="en"/>
              </w:rPr>
              <w:t xml:space="preserve">1,720</w:t>
            </w:r>
          </w:p>
        </w:tc>
      </w:tr>
      <w:tr>
        <w:tc>
          <w:tcPr/>
          <w:p>
            <w:pPr>
              <w:pStyle w:val="Compact"/>
              <w:jc w:val="left"/>
            </w:pPr>
            <w:r>
              <w:rPr>
                <w:lang w:val="en"/>
              </w:rPr>
              <w:t xml:space="preserve">GVA (B.1g)</w:t>
            </w:r>
          </w:p>
        </w:tc>
        <w:tc>
          <w:tcPr/>
          <w:p>
            <w:pPr>
              <w:pStyle w:val="Compact"/>
              <w:jc w:val="left"/>
            </w:pPr>
            <w:r>
              <w:rPr>
                <w:lang w:val="en"/>
              </w:rPr>
              <w:t xml:space="preserve">650</w:t>
            </w:r>
          </w:p>
        </w:tc>
        <w:tc>
          <w:tcPr/>
          <w:p>
            <w:pPr>
              <w:pStyle w:val="Compact"/>
              <w:jc w:val="left"/>
            </w:pPr>
            <w:r>
              <w:rPr>
                <w:lang w:val="en"/>
              </w:rPr>
              <w:t xml:space="preserve">300</w:t>
            </w:r>
          </w:p>
        </w:tc>
        <w:tc>
          <w:tcPr/>
          <w:p>
            <w:pPr>
              <w:pStyle w:val="Compact"/>
              <w:jc w:val="left"/>
            </w:pPr>
            <w:r>
              <w:rPr>
                <w:lang w:val="en"/>
              </w:rPr>
              <w:t xml:space="preserve">105</w:t>
            </w:r>
          </w:p>
        </w:tc>
        <w:tc>
          <w:tcPr/>
          <w:p>
            <w:pPr>
              <w:pStyle w:val="Compact"/>
              <w:jc w:val="left"/>
            </w:pPr>
            <w:r>
              <w:rPr>
                <w:lang w:val="en"/>
              </w:rPr>
              <w:t xml:space="preserve">1,055</w:t>
            </w:r>
          </w:p>
        </w:tc>
      </w:tr>
      <w:tr>
        <w:tc>
          <w:tcPr/>
          <w:p>
            <w:pPr>
              <w:pStyle w:val="Compact"/>
              <w:jc w:val="left"/>
            </w:pPr>
            <w:r>
              <w:rPr>
                <w:lang w:val="en"/>
              </w:rPr>
              <w:t xml:space="preserve">Depreciation (P.51c)</w:t>
            </w:r>
          </w:p>
        </w:tc>
        <w:tc>
          <w:tcPr/>
          <w:p>
            <w:pPr>
              <w:pStyle w:val="Compact"/>
              <w:jc w:val="left"/>
            </w:pPr>
            <w:r>
              <w:rPr>
                <w:lang w:val="en"/>
              </w:rPr>
              <w:t xml:space="preserve">120</w:t>
            </w:r>
          </w:p>
        </w:tc>
        <w:tc>
          <w:tcPr/>
          <w:p>
            <w:pPr>
              <w:pStyle w:val="Compact"/>
              <w:jc w:val="left"/>
            </w:pPr>
            <w:r>
              <w:rPr>
                <w:lang w:val="en"/>
              </w:rPr>
              <w:t xml:space="preserve">85</w:t>
            </w:r>
          </w:p>
        </w:tc>
        <w:tc>
          <w:tcPr/>
          <w:p>
            <w:pPr>
              <w:pStyle w:val="Compact"/>
              <w:jc w:val="left"/>
            </w:pPr>
            <w:r>
              <w:rPr>
                <w:lang w:val="en"/>
              </w:rPr>
              <w:t xml:space="preserve">18</w:t>
            </w:r>
          </w:p>
        </w:tc>
        <w:tc>
          <w:tcPr/>
          <w:p>
            <w:pPr>
              <w:pStyle w:val="Compact"/>
              <w:jc w:val="left"/>
            </w:pPr>
            <w:r>
              <w:rPr>
                <w:lang w:val="en"/>
              </w:rPr>
              <w:t xml:space="preserve">223</w:t>
            </w:r>
          </w:p>
        </w:tc>
      </w:tr>
      <w:tr>
        <w:tc>
          <w:tcPr/>
          <w:p>
            <w:pPr>
              <w:pStyle w:val="Compact"/>
              <w:jc w:val="left"/>
            </w:pPr>
            <w:r>
              <w:rPr>
                <w:lang w:val="en"/>
              </w:rPr>
              <w:t xml:space="preserve">NVA (B.1n)</w:t>
            </w:r>
          </w:p>
        </w:tc>
        <w:tc>
          <w:tcPr/>
          <w:p>
            <w:pPr>
              <w:pStyle w:val="Compact"/>
              <w:jc w:val="left"/>
            </w:pPr>
            <w:r>
              <w:rPr>
                <w:lang w:val="en"/>
              </w:rPr>
              <w:t xml:space="preserve">530</w:t>
            </w:r>
          </w:p>
        </w:tc>
        <w:tc>
          <w:tcPr/>
          <w:p>
            <w:pPr>
              <w:pStyle w:val="Compact"/>
              <w:jc w:val="left"/>
            </w:pPr>
            <w:r>
              <w:rPr>
                <w:lang w:val="en"/>
              </w:rPr>
              <w:t xml:space="preserve">215</w:t>
            </w:r>
          </w:p>
        </w:tc>
        <w:tc>
          <w:tcPr/>
          <w:p>
            <w:pPr>
              <w:pStyle w:val="Compact"/>
              <w:jc w:val="left"/>
            </w:pPr>
            <w:r>
              <w:rPr>
                <w:lang w:val="en"/>
              </w:rPr>
              <w:t xml:space="preserve">87</w:t>
            </w:r>
          </w:p>
        </w:tc>
        <w:tc>
          <w:tcPr/>
          <w:p>
            <w:pPr>
              <w:pStyle w:val="Compact"/>
              <w:jc w:val="left"/>
            </w:pPr>
            <w:r>
              <w:rPr>
                <w:lang w:val="en"/>
              </w:rPr>
              <w:t xml:space="preserve">832</w:t>
            </w:r>
          </w:p>
        </w:tc>
      </w:tr>
    </w:tbl>
    <w:p>
      <w:pPr>
        <w:pStyle w:val="BodyText"/>
      </w:pPr>
      <w:r>
        <w:rPr>
          <w:lang w:val="en"/>
        </w:rPr>
        <w:t xml:space="preserve">¶3</w:t>
      </w:r>
      <w:r>
        <w:rPr>
          <w:lang w:val="en"/>
        </w:rPr>
        <w:t xml:space="preserve"> </w:t>
      </w:r>
      <w:r>
        <w:rPr>
          <w:lang w:val="en"/>
        </w:rPr>
        <w:t xml:space="preserve">All monetary values in millions of USD at current prices. The ISIC 5224 column reports the maritime-attributable share after applying the 0.70 maritime ratio (total ISIC 5224 output of 350 x 0.70 = 245). The depreciation entry for ISIC 501 (USD 120 million) reflects vessel capital consumption derived through the perpetual inventory method described in Section 3.2.4.</w:t>
      </w:r>
    </w:p>
    <w:p>
      <w:pPr>
        <w:pStyle w:val="BodyText"/>
      </w:pPr>
      <w:r>
        <w:rPr>
          <w:lang w:val="en"/>
        </w:rPr>
        <w:t xml:space="preserve">¶4</w:t>
      </w:r>
      <w:r>
        <w:rPr>
          <w:lang w:val="en"/>
        </w:rPr>
        <w:t xml:space="preserve"> </w:t>
      </w:r>
      <w:r>
        <w:rPr>
          <w:bCs/>
          <w:b/>
          <w:lang w:val="en"/>
        </w:rPr>
        <w:t xml:space="preserve">Table 3.7.2: Country B Maritime Transport Employment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Indicator</w:t>
            </w:r>
          </w:p>
        </w:tc>
        <w:tc>
          <w:tcPr/>
          <w:p>
            <w:pPr>
              <w:pStyle w:val="Compact"/>
              <w:jc w:val="left"/>
            </w:pPr>
            <w:r>
              <w:rPr>
                <w:lang w:val="en"/>
              </w:rPr>
              <w:t xml:space="preserve">Sea Transport</w:t>
            </w:r>
          </w:p>
        </w:tc>
        <w:tc>
          <w:tcPr/>
          <w:p>
            <w:pPr>
              <w:pStyle w:val="Compact"/>
              <w:jc w:val="left"/>
            </w:pPr>
            <w:r>
              <w:rPr>
                <w:lang w:val="en"/>
              </w:rPr>
              <w:t xml:space="preserve">Port Services</w:t>
            </w:r>
          </w:p>
        </w:tc>
        <w:tc>
          <w:tcPr/>
          <w:p>
            <w:pPr>
              <w:pStyle w:val="Compact"/>
              <w:jc w:val="left"/>
            </w:pPr>
            <w:r>
              <w:rPr>
                <w:lang w:val="en"/>
              </w:rPr>
              <w:t xml:space="preserve">Cargo Handling (0.70)</w:t>
            </w:r>
          </w:p>
        </w:tc>
        <w:tc>
          <w:tcPr/>
          <w:p>
            <w:pPr>
              <w:pStyle w:val="Compact"/>
              <w:jc w:val="left"/>
            </w:pPr>
            <w:r>
              <w:rPr>
                <w:lang w:val="en"/>
              </w:rPr>
              <w:t xml:space="preserve">Total Maritime</w:t>
            </w:r>
          </w:p>
        </w:tc>
      </w:tr>
      <w:tr>
        <w:tc>
          <w:tcPr/>
          <w:p>
            <w:pPr>
              <w:pStyle w:val="Compact"/>
              <w:jc w:val="left"/>
            </w:pPr>
            <w:r>
              <w:rPr>
                <w:lang w:val="en"/>
              </w:rPr>
              <w:t xml:space="preserve">Persons employed</w:t>
            </w:r>
          </w:p>
        </w:tc>
        <w:tc>
          <w:tcPr/>
          <w:p>
            <w:pPr>
              <w:pStyle w:val="Compact"/>
              <w:jc w:val="left"/>
            </w:pPr>
            <w:r>
              <w:rPr>
                <w:lang w:val="en"/>
              </w:rPr>
              <w:t xml:space="preserve">22,000</w:t>
            </w:r>
          </w:p>
        </w:tc>
        <w:tc>
          <w:tcPr/>
          <w:p>
            <w:pPr>
              <w:pStyle w:val="Compact"/>
              <w:jc w:val="left"/>
            </w:pPr>
            <w:r>
              <w:rPr>
                <w:lang w:val="en"/>
              </w:rPr>
              <w:t xml:space="preserve">18,000</w:t>
            </w:r>
          </w:p>
        </w:tc>
        <w:tc>
          <w:tcPr/>
          <w:p>
            <w:pPr>
              <w:pStyle w:val="Compact"/>
              <w:jc w:val="left"/>
            </w:pPr>
            <w:r>
              <w:rPr>
                <w:lang w:val="en"/>
              </w:rPr>
              <w:t xml:space="preserve">5,600</w:t>
            </w:r>
          </w:p>
        </w:tc>
        <w:tc>
          <w:tcPr/>
          <w:p>
            <w:pPr>
              <w:pStyle w:val="Compact"/>
              <w:jc w:val="left"/>
            </w:pPr>
            <w:r>
              <w:rPr>
                <w:lang w:val="en"/>
              </w:rPr>
              <w:t xml:space="preserve">45,600</w:t>
            </w:r>
          </w:p>
        </w:tc>
      </w:tr>
      <w:tr>
        <w:tc>
          <w:tcPr/>
          <w:p>
            <w:pPr>
              <w:pStyle w:val="Compact"/>
              <w:jc w:val="left"/>
            </w:pPr>
            <w:r>
              <w:rPr>
                <w:lang w:val="en"/>
              </w:rPr>
              <w:t xml:space="preserve">FTE employment</w:t>
            </w:r>
          </w:p>
        </w:tc>
        <w:tc>
          <w:tcPr/>
          <w:p>
            <w:pPr>
              <w:pStyle w:val="Compact"/>
              <w:jc w:val="left"/>
            </w:pPr>
            <w:r>
              <w:rPr>
                <w:lang w:val="en"/>
              </w:rPr>
              <w:t xml:space="preserve">21,500</w:t>
            </w:r>
          </w:p>
        </w:tc>
        <w:tc>
          <w:tcPr/>
          <w:p>
            <w:pPr>
              <w:pStyle w:val="Compact"/>
              <w:jc w:val="left"/>
            </w:pPr>
            <w:r>
              <w:rPr>
                <w:lang w:val="en"/>
              </w:rPr>
              <w:t xml:space="preserve">17,000</w:t>
            </w:r>
          </w:p>
        </w:tc>
        <w:tc>
          <w:tcPr/>
          <w:p>
            <w:pPr>
              <w:pStyle w:val="Compact"/>
              <w:jc w:val="left"/>
            </w:pPr>
            <w:r>
              <w:rPr>
                <w:lang w:val="en"/>
              </w:rPr>
              <w:t xml:space="preserve">5,400</w:t>
            </w:r>
          </w:p>
        </w:tc>
        <w:tc>
          <w:tcPr/>
          <w:p>
            <w:pPr>
              <w:pStyle w:val="Compact"/>
              <w:jc w:val="left"/>
            </w:pPr>
            <w:r>
              <w:rPr>
                <w:lang w:val="en"/>
              </w:rPr>
              <w:t xml:space="preserve">43,900</w:t>
            </w:r>
          </w:p>
        </w:tc>
      </w:tr>
      <w:tr>
        <w:tc>
          <w:tcPr/>
          <w:p>
            <w:pPr>
              <w:pStyle w:val="Compact"/>
              <w:jc w:val="left"/>
            </w:pPr>
            <w:r>
              <w:rPr>
                <w:lang w:val="en"/>
              </w:rPr>
              <w:t xml:space="preserve">Average compensation (USD/year)</w:t>
            </w:r>
          </w:p>
        </w:tc>
        <w:tc>
          <w:tcPr/>
          <w:p>
            <w:pPr>
              <w:pStyle w:val="Compact"/>
              <w:jc w:val="left"/>
            </w:pPr>
            <w:r>
              <w:rPr>
                <w:lang w:val="en"/>
              </w:rPr>
              <w:t xml:space="preserve">18,500</w:t>
            </w:r>
          </w:p>
        </w:tc>
        <w:tc>
          <w:tcPr/>
          <w:p>
            <w:pPr>
              <w:pStyle w:val="Compact"/>
              <w:jc w:val="left"/>
            </w:pPr>
            <w:r>
              <w:rPr>
                <w:lang w:val="en"/>
              </w:rPr>
              <w:t xml:space="preserve">16,200</w:t>
            </w:r>
          </w:p>
        </w:tc>
        <w:tc>
          <w:tcPr/>
          <w:p>
            <w:pPr>
              <w:pStyle w:val="Compact"/>
              <w:jc w:val="left"/>
            </w:pPr>
            <w:r>
              <w:rPr>
                <w:lang w:val="en"/>
              </w:rPr>
              <w:t xml:space="preserve">14,800</w:t>
            </w:r>
          </w:p>
        </w:tc>
        <w:tc>
          <w:tcPr/>
          <w:p>
            <w:pPr>
              <w:pStyle w:val="Compact"/>
              <w:jc w:val="left"/>
            </w:pPr>
            <w:r>
              <w:rPr>
                <w:lang w:val="en"/>
              </w:rPr>
              <w:t xml:space="preserve">17,138</w:t>
            </w:r>
          </w:p>
        </w:tc>
      </w:tr>
      <w:tr>
        <w:tc>
          <w:tcPr/>
          <w:p>
            <w:pPr>
              <w:pStyle w:val="Compact"/>
              <w:jc w:val="left"/>
            </w:pPr>
            <w:r>
              <w:rPr>
                <w:lang w:val="en"/>
              </w:rPr>
              <w:t xml:space="preserve">Labour productivity (USD GVA per person)</w:t>
            </w:r>
          </w:p>
        </w:tc>
        <w:tc>
          <w:tcPr/>
          <w:p>
            <w:pPr>
              <w:pStyle w:val="Compact"/>
              <w:jc w:val="left"/>
            </w:pPr>
            <w:r>
              <w:rPr>
                <w:lang w:val="en"/>
              </w:rPr>
              <w:t xml:space="preserve">29,545</w:t>
            </w:r>
          </w:p>
        </w:tc>
        <w:tc>
          <w:tcPr/>
          <w:p>
            <w:pPr>
              <w:pStyle w:val="Compact"/>
              <w:jc w:val="left"/>
            </w:pPr>
            <w:r>
              <w:rPr>
                <w:lang w:val="en"/>
              </w:rPr>
              <w:t xml:space="preserve">16,667</w:t>
            </w:r>
          </w:p>
        </w:tc>
        <w:tc>
          <w:tcPr/>
          <w:p>
            <w:pPr>
              <w:pStyle w:val="Compact"/>
              <w:jc w:val="left"/>
            </w:pPr>
            <w:r>
              <w:rPr>
                <w:lang w:val="en"/>
              </w:rPr>
              <w:t xml:space="preserve">18,750</w:t>
            </w:r>
          </w:p>
        </w:tc>
        <w:tc>
          <w:tcPr/>
          <w:p>
            <w:pPr>
              <w:pStyle w:val="Compact"/>
              <w:jc w:val="left"/>
            </w:pPr>
            <w:r>
              <w:rPr>
                <w:lang w:val="en"/>
              </w:rPr>
              <w:t xml:space="preserve">23,136</w:t>
            </w:r>
          </w:p>
        </w:tc>
      </w:tr>
    </w:tbl>
    <w:p>
      <w:pPr>
        <w:pStyle w:val="BodyText"/>
      </w:pPr>
      <w:r>
        <w:rPr>
          <w:lang w:val="en"/>
        </w:rPr>
        <w:t xml:space="preserve">¶5</w:t>
      </w:r>
      <w:r>
        <w:rPr>
          <w:lang w:val="en"/>
        </w:rPr>
        <w:t xml:space="preserve"> </w:t>
      </w:r>
      <w:r>
        <w:rPr>
          <w:lang w:val="en"/>
        </w:rPr>
        <w:t xml:space="preserve">Sea transport employment is measured on a residence basis as set out in Section 3.4.2. For Country B, seafarer employment from MLC flag-state data has been adjusted to a residence basis using the BIMCO/ICS</w:t>
      </w:r>
      <w:r>
        <w:rPr>
          <w:lang w:val="en"/>
        </w:rPr>
        <w:t xml:space="preserve"> </w:t>
      </w:r>
      <w:r>
        <w:rPr>
          <w:iCs/>
          <w:i/>
          <w:lang w:val="en"/>
        </w:rPr>
        <w:t xml:space="preserve">Seafarer Workforce Report</w:t>
      </w:r>
      <w:r>
        <w:rPr>
          <w:lang w:val="en"/>
        </w:rPr>
        <w:t xml:space="preserve"> </w:t>
      </w:r>
      <w:r>
        <w:rPr>
          <w:lang w:val="en"/>
        </w:rPr>
        <w:t xml:space="preserve">(2021) national supply estimates.</w:t>
      </w:r>
    </w:p>
    <w:p>
      <w:pPr>
        <w:pStyle w:val="BodyText"/>
      </w:pPr>
      <w:r>
        <w:rPr>
          <w:lang w:val="en"/>
        </w:rPr>
        <w:t xml:space="preserve">¶6</w:t>
      </w:r>
      <w:r>
        <w:rPr>
          <w:lang w:val="en"/>
        </w:rPr>
        <w:t xml:space="preserve"> </w:t>
      </w:r>
      <w:r>
        <w:rPr>
          <w:bCs/>
          <w:b/>
          <w:lang w:val="en"/>
        </w:rPr>
        <w:t xml:space="preserve">Table 3.7.3: Country B Maritime Transport Emissions</w:t>
      </w:r>
    </w:p>
    <w:p>
      <w:pPr>
        <w:pStyle w:val="BodyText"/>
      </w:pPr>
      <w:r>
        <w:rPr>
          <w:lang w:val="en"/>
        </w:rPr>
        <w:t xml:space="preserve">¶7</w:t>
      </w:r>
      <w:r>
        <w:rPr>
          <w:lang w:val="en"/>
        </w:rPr>
        <w:t xml:space="preserve"> </w:t>
      </w:r>
      <w:r>
        <w:rPr>
          <w:iCs/>
          <w:i/>
          <w:lang w:val="en"/>
        </w:rPr>
        <w:t xml:space="preserve">Panel A: Greenhouse gases (tonnes CO2e, AR6 GWP100)</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Emission</w:t>
            </w:r>
          </w:p>
        </w:tc>
        <w:tc>
          <w:tcPr/>
          <w:p>
            <w:pPr>
              <w:pStyle w:val="Compact"/>
              <w:jc w:val="left"/>
            </w:pPr>
            <w:r>
              <w:rPr>
                <w:lang w:val="en"/>
              </w:rPr>
              <w:t xml:space="preserve">Sea Transport</w:t>
            </w:r>
          </w:p>
        </w:tc>
        <w:tc>
          <w:tcPr/>
          <w:p>
            <w:pPr>
              <w:pStyle w:val="Compact"/>
              <w:jc w:val="left"/>
            </w:pPr>
            <w:r>
              <w:rPr>
                <w:lang w:val="en"/>
              </w:rPr>
              <w:t xml:space="preserve">Port Services</w:t>
            </w:r>
          </w:p>
        </w:tc>
        <w:tc>
          <w:tcPr/>
          <w:p>
            <w:pPr>
              <w:pStyle w:val="Compact"/>
              <w:jc w:val="left"/>
            </w:pPr>
            <w:r>
              <w:rPr>
                <w:lang w:val="en"/>
              </w:rPr>
              <w:t xml:space="preserve">Cargo Handling (0.70)</w:t>
            </w:r>
          </w:p>
        </w:tc>
        <w:tc>
          <w:tcPr/>
          <w:p>
            <w:pPr>
              <w:pStyle w:val="Compact"/>
              <w:jc w:val="left"/>
            </w:pPr>
            <w:r>
              <w:rPr>
                <w:lang w:val="en"/>
              </w:rPr>
              <w:t xml:space="preserve">Total</w:t>
            </w:r>
          </w:p>
        </w:tc>
      </w:tr>
      <w:tr>
        <w:tc>
          <w:tcPr/>
          <w:p>
            <w:pPr>
              <w:pStyle w:val="Compact"/>
              <w:jc w:val="left"/>
            </w:pPr>
            <w:r>
              <w:rPr>
                <w:lang w:val="en"/>
              </w:rPr>
              <w:t xml:space="preserve">CO2 from fuel combustion</w:t>
            </w:r>
          </w:p>
        </w:tc>
        <w:tc>
          <w:tcPr/>
          <w:p>
            <w:pPr>
              <w:pStyle w:val="Compact"/>
              <w:jc w:val="left"/>
            </w:pPr>
            <w:r>
              <w:rPr>
                <w:lang w:val="en"/>
              </w:rPr>
              <w:t xml:space="preserve">1,250,000</w:t>
            </w:r>
          </w:p>
        </w:tc>
        <w:tc>
          <w:tcPr/>
          <w:p>
            <w:pPr>
              <w:pStyle w:val="Compact"/>
              <w:jc w:val="left"/>
            </w:pPr>
            <w:r>
              <w:rPr>
                <w:lang w:val="en"/>
              </w:rPr>
              <w:t xml:space="preserve">85,000</w:t>
            </w:r>
          </w:p>
        </w:tc>
        <w:tc>
          <w:tcPr/>
          <w:p>
            <w:pPr>
              <w:pStyle w:val="Compact"/>
              <w:jc w:val="left"/>
            </w:pPr>
            <w:r>
              <w:rPr>
                <w:lang w:val="en"/>
              </w:rPr>
              <w:t xml:space="preserve">22,000</w:t>
            </w:r>
          </w:p>
        </w:tc>
        <w:tc>
          <w:tcPr/>
          <w:p>
            <w:pPr>
              <w:pStyle w:val="Compact"/>
              <w:jc w:val="left"/>
            </w:pPr>
            <w:r>
              <w:rPr>
                <w:lang w:val="en"/>
              </w:rPr>
              <w:t xml:space="preserve">1,357,000</w:t>
            </w:r>
          </w:p>
        </w:tc>
      </w:tr>
      <w:tr>
        <w:tc>
          <w:tcPr/>
          <w:p>
            <w:pPr>
              <w:pStyle w:val="Compact"/>
              <w:jc w:val="left"/>
            </w:pPr>
            <w:r>
              <w:rPr>
                <w:lang w:val="en"/>
              </w:rPr>
              <w:t xml:space="preserve">CH4 (fossil, GWP 29.8)</w:t>
            </w:r>
          </w:p>
        </w:tc>
        <w:tc>
          <w:tcPr/>
          <w:p>
            <w:pPr>
              <w:pStyle w:val="Compact"/>
              <w:jc w:val="left"/>
            </w:pPr>
            <w:r>
              <w:rPr>
                <w:lang w:val="en"/>
              </w:rPr>
              <w:t xml:space="preserve">191</w:t>
            </w:r>
          </w:p>
        </w:tc>
        <w:tc>
          <w:tcPr/>
          <w:p>
            <w:pPr>
              <w:pStyle w:val="Compact"/>
              <w:jc w:val="left"/>
            </w:pPr>
            <w:r>
              <w:rPr>
                <w:lang w:val="en"/>
              </w:rPr>
              <w:t xml:space="preserve">16</w:t>
            </w:r>
          </w:p>
        </w:tc>
        <w:tc>
          <w:tcPr/>
          <w:p>
            <w:pPr>
              <w:pStyle w:val="Compact"/>
              <w:jc w:val="left"/>
            </w:pPr>
            <w:r>
              <w:rPr>
                <w:lang w:val="en"/>
              </w:rPr>
              <w:t xml:space="preserve">4</w:t>
            </w:r>
          </w:p>
        </w:tc>
        <w:tc>
          <w:tcPr/>
          <w:p>
            <w:pPr>
              <w:pStyle w:val="Compact"/>
              <w:jc w:val="left"/>
            </w:pPr>
            <w:r>
              <w:rPr>
                <w:lang w:val="en"/>
              </w:rPr>
              <w:t xml:space="preserve">211</w:t>
            </w:r>
          </w:p>
        </w:tc>
      </w:tr>
      <w:tr>
        <w:tc>
          <w:tcPr/>
          <w:p>
            <w:pPr>
              <w:pStyle w:val="Compact"/>
              <w:jc w:val="left"/>
            </w:pPr>
            <w:r>
              <w:rPr>
                <w:lang w:val="en"/>
              </w:rPr>
              <w:t xml:space="preserve">N2O (GWP 273)</w:t>
            </w:r>
          </w:p>
        </w:tc>
        <w:tc>
          <w:tcPr/>
          <w:p>
            <w:pPr>
              <w:pStyle w:val="Compact"/>
              <w:jc w:val="left"/>
            </w:pPr>
            <w:r>
              <w:rPr>
                <w:lang w:val="en"/>
              </w:rPr>
              <w:t xml:space="preserve">227</w:t>
            </w:r>
          </w:p>
        </w:tc>
        <w:tc>
          <w:tcPr/>
          <w:p>
            <w:pPr>
              <w:pStyle w:val="Compact"/>
              <w:jc w:val="left"/>
            </w:pPr>
            <w:r>
              <w:rPr>
                <w:lang w:val="en"/>
              </w:rPr>
              <w:t xml:space="preserve">19</w:t>
            </w:r>
          </w:p>
        </w:tc>
        <w:tc>
          <w:tcPr/>
          <w:p>
            <w:pPr>
              <w:pStyle w:val="Compact"/>
              <w:jc w:val="left"/>
            </w:pPr>
            <w:r>
              <w:rPr>
                <w:lang w:val="en"/>
              </w:rPr>
              <w:t xml:space="preserve">5</w:t>
            </w:r>
          </w:p>
        </w:tc>
        <w:tc>
          <w:tcPr/>
          <w:p>
            <w:pPr>
              <w:pStyle w:val="Compact"/>
              <w:jc w:val="left"/>
            </w:pPr>
            <w:r>
              <w:rPr>
                <w:lang w:val="en"/>
              </w:rPr>
              <w:t xml:space="preserve">251</w:t>
            </w:r>
          </w:p>
        </w:tc>
      </w:tr>
      <w:tr>
        <w:tc>
          <w:tcPr/>
          <w:p>
            <w:pPr>
              <w:pStyle w:val="Compact"/>
              <w:jc w:val="left"/>
            </w:pPr>
            <w:r>
              <w:rPr>
                <w:lang w:val="en"/>
              </w:rPr>
              <w:t xml:space="preserve">Total GHG (CO2e)</w:t>
            </w:r>
          </w:p>
        </w:tc>
        <w:tc>
          <w:tcPr/>
          <w:p>
            <w:pPr>
              <w:pStyle w:val="Compact"/>
              <w:jc w:val="left"/>
            </w:pPr>
            <w:r>
              <w:rPr>
                <w:lang w:val="en"/>
              </w:rPr>
              <w:t xml:space="preserve">1,250,418</w:t>
            </w:r>
          </w:p>
        </w:tc>
        <w:tc>
          <w:tcPr/>
          <w:p>
            <w:pPr>
              <w:pStyle w:val="Compact"/>
              <w:jc w:val="left"/>
            </w:pPr>
            <w:r>
              <w:rPr>
                <w:lang w:val="en"/>
              </w:rPr>
              <w:t xml:space="preserve">85,035</w:t>
            </w:r>
          </w:p>
        </w:tc>
        <w:tc>
          <w:tcPr/>
          <w:p>
            <w:pPr>
              <w:pStyle w:val="Compact"/>
              <w:jc w:val="left"/>
            </w:pPr>
            <w:r>
              <w:rPr>
                <w:lang w:val="en"/>
              </w:rPr>
              <w:t xml:space="preserve">22,009</w:t>
            </w:r>
          </w:p>
        </w:tc>
        <w:tc>
          <w:tcPr/>
          <w:p>
            <w:pPr>
              <w:pStyle w:val="Compact"/>
              <w:jc w:val="left"/>
            </w:pPr>
            <w:r>
              <w:rPr>
                <w:lang w:val="en"/>
              </w:rPr>
              <w:t xml:space="preserve">1,357,462</w:t>
            </w:r>
          </w:p>
        </w:tc>
      </w:tr>
      <w:tr>
        <w:tc>
          <w:tcPr/>
          <w:p>
            <w:pPr>
              <w:pStyle w:val="Compact"/>
              <w:jc w:val="left"/>
            </w:pPr>
            <w:r>
              <w:rPr>
                <w:lang w:val="en"/>
              </w:rPr>
              <w:t xml:space="preserve">Emission intensity (kg CO2e per USD 1,000 GVA)</w:t>
            </w:r>
          </w:p>
        </w:tc>
        <w:tc>
          <w:tcPr/>
          <w:p>
            <w:pPr>
              <w:pStyle w:val="Compact"/>
              <w:jc w:val="left"/>
            </w:pPr>
            <w:r>
              <w:rPr>
                <w:lang w:val="en"/>
              </w:rPr>
              <w:t xml:space="preserve">1,924</w:t>
            </w:r>
          </w:p>
        </w:tc>
        <w:tc>
          <w:tcPr/>
          <w:p>
            <w:pPr>
              <w:pStyle w:val="Compact"/>
              <w:jc w:val="left"/>
            </w:pPr>
            <w:r>
              <w:rPr>
                <w:lang w:val="en"/>
              </w:rPr>
              <w:t xml:space="preserve">283</w:t>
            </w:r>
          </w:p>
        </w:tc>
        <w:tc>
          <w:tcPr/>
          <w:p>
            <w:pPr>
              <w:pStyle w:val="Compact"/>
              <w:jc w:val="left"/>
            </w:pPr>
            <w:r>
              <w:rPr>
                <w:lang w:val="en"/>
              </w:rPr>
              <w:t xml:space="preserve">210</w:t>
            </w:r>
          </w:p>
        </w:tc>
        <w:tc>
          <w:tcPr/>
          <w:p>
            <w:pPr>
              <w:pStyle w:val="Compact"/>
              <w:jc w:val="left"/>
            </w:pPr>
            <w:r>
              <w:rPr>
                <w:lang w:val="en"/>
              </w:rPr>
              <w:t xml:space="preserve">1,287</w:t>
            </w:r>
          </w:p>
        </w:tc>
      </w:tr>
    </w:tbl>
    <w:p>
      <w:pPr>
        <w:pStyle w:val="BodyText"/>
      </w:pPr>
      <w:r>
        <w:rPr>
          <w:lang w:val="en"/>
        </w:rPr>
        <w:t xml:space="preserve">¶8</w:t>
      </w:r>
      <w:r>
        <w:rPr>
          <w:lang w:val="en"/>
        </w:rPr>
        <w:t xml:space="preserve"> </w:t>
      </w:r>
      <w:r>
        <w:rPr>
          <w:iCs/>
          <w:i/>
          <w:lang w:val="en"/>
        </w:rPr>
        <w:t xml:space="preserve">Note (biogenic CH4):</w:t>
      </w:r>
      <w:r>
        <w:rPr>
          <w:lang w:val="en"/>
        </w:rPr>
        <w:t xml:space="preserve"> </w:t>
      </w:r>
      <w:r>
        <w:rPr>
          <w:lang w:val="en"/>
        </w:rPr>
        <w:t xml:space="preserve">The CH4 row applies the AR6 GWP100 of 29.8 for fossil-sourced methane. As biofuel blends and bio-LNG become material under IMO’s 2023 GHG Strategy fuel-mix scenarios, biogenic CH4 should be reported separately at GWP100 = 27.0 (AR6 non-fossil value). Compilers should document the fuel-type split and apply the corresponding GWP factor for each CH4 emission stream once biofuel uptake is material.</w:t>
      </w:r>
    </w:p>
    <w:p>
      <w:pPr>
        <w:pStyle w:val="BodyText"/>
      </w:pPr>
      <w:r>
        <w:rPr>
          <w:lang w:val="en"/>
        </w:rPr>
        <w:t xml:space="preserve">¶9</w:t>
      </w:r>
      <w:r>
        <w:rPr>
          <w:lang w:val="en"/>
        </w:rPr>
        <w:t xml:space="preserve"> </w:t>
      </w:r>
      <w:r>
        <w:rPr>
          <w:iCs/>
          <w:i/>
          <w:lang w:val="en"/>
        </w:rPr>
        <w:t xml:space="preserve">Panel B: Air pollutants (tonnes; illustrative, derived from the same fuel-consumption activity data using EMEP/EEA emission factors)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Pollutant</w:t>
            </w:r>
          </w:p>
        </w:tc>
        <w:tc>
          <w:tcPr/>
          <w:p>
            <w:pPr>
              <w:pStyle w:val="Compact"/>
              <w:jc w:val="left"/>
            </w:pPr>
            <w:r>
              <w:rPr>
                <w:lang w:val="en"/>
              </w:rPr>
              <w:t xml:space="preserve">Sea Transport</w:t>
            </w:r>
          </w:p>
        </w:tc>
        <w:tc>
          <w:tcPr/>
          <w:p>
            <w:pPr>
              <w:pStyle w:val="Compact"/>
              <w:jc w:val="left"/>
            </w:pPr>
            <w:r>
              <w:rPr>
                <w:lang w:val="en"/>
              </w:rPr>
              <w:t xml:space="preserve">Port Services</w:t>
            </w:r>
          </w:p>
        </w:tc>
        <w:tc>
          <w:tcPr/>
          <w:p>
            <w:pPr>
              <w:pStyle w:val="Compact"/>
              <w:jc w:val="left"/>
            </w:pPr>
            <w:r>
              <w:rPr>
                <w:lang w:val="en"/>
              </w:rPr>
              <w:t xml:space="preserve">Cargo Handling (0.70)</w:t>
            </w:r>
          </w:p>
        </w:tc>
        <w:tc>
          <w:tcPr/>
          <w:p>
            <w:pPr>
              <w:pStyle w:val="Compact"/>
              <w:jc w:val="left"/>
            </w:pPr>
            <w:r>
              <w:rPr>
                <w:lang w:val="en"/>
              </w:rPr>
              <w:t xml:space="preserve">Total</w:t>
            </w:r>
          </w:p>
        </w:tc>
      </w:tr>
      <w:tr>
        <w:tc>
          <w:tcPr/>
          <w:p>
            <w:pPr>
              <w:pStyle w:val="Compact"/>
              <w:jc w:val="left"/>
            </w:pPr>
            <w:r>
              <w:rPr>
                <w:lang w:val="en"/>
              </w:rPr>
              <w:t xml:space="preserve">SOx</w:t>
            </w:r>
          </w:p>
        </w:tc>
        <w:tc>
          <w:tcPr/>
          <w:p>
            <w:pPr>
              <w:pStyle w:val="Compact"/>
              <w:jc w:val="left"/>
            </w:pPr>
            <w:r>
              <w:rPr>
                <w:lang w:val="en"/>
              </w:rPr>
              <w:t xml:space="preserve">4,200</w:t>
            </w:r>
          </w:p>
        </w:tc>
        <w:tc>
          <w:tcPr/>
          <w:p>
            <w:pPr>
              <w:pStyle w:val="Compact"/>
              <w:jc w:val="left"/>
            </w:pPr>
            <w:r>
              <w:rPr>
                <w:lang w:val="en"/>
              </w:rPr>
              <w:t xml:space="preserve">95</w:t>
            </w:r>
          </w:p>
        </w:tc>
        <w:tc>
          <w:tcPr/>
          <w:p>
            <w:pPr>
              <w:pStyle w:val="Compact"/>
              <w:jc w:val="left"/>
            </w:pPr>
            <w:r>
              <w:rPr>
                <w:lang w:val="en"/>
              </w:rPr>
              <w:t xml:space="preserve">25</w:t>
            </w:r>
          </w:p>
        </w:tc>
        <w:tc>
          <w:tcPr/>
          <w:p>
            <w:pPr>
              <w:pStyle w:val="Compact"/>
              <w:jc w:val="left"/>
            </w:pPr>
            <w:r>
              <w:rPr>
                <w:lang w:val="en"/>
              </w:rPr>
              <w:t xml:space="preserve">4,320</w:t>
            </w:r>
          </w:p>
        </w:tc>
      </w:tr>
      <w:tr>
        <w:tc>
          <w:tcPr/>
          <w:p>
            <w:pPr>
              <w:pStyle w:val="Compact"/>
              <w:jc w:val="left"/>
            </w:pPr>
            <w:r>
              <w:rPr>
                <w:lang w:val="en"/>
              </w:rPr>
              <w:t xml:space="preserve">NOx</w:t>
            </w:r>
          </w:p>
        </w:tc>
        <w:tc>
          <w:tcPr/>
          <w:p>
            <w:pPr>
              <w:pStyle w:val="Compact"/>
              <w:jc w:val="left"/>
            </w:pPr>
            <w:r>
              <w:rPr>
                <w:lang w:val="en"/>
              </w:rPr>
              <w:t xml:space="preserve">25,500</w:t>
            </w:r>
          </w:p>
        </w:tc>
        <w:tc>
          <w:tcPr/>
          <w:p>
            <w:pPr>
              <w:pStyle w:val="Compact"/>
              <w:jc w:val="left"/>
            </w:pPr>
            <w:r>
              <w:rPr>
                <w:lang w:val="en"/>
              </w:rPr>
              <w:t xml:space="preserve">1,400</w:t>
            </w:r>
          </w:p>
        </w:tc>
        <w:tc>
          <w:tcPr/>
          <w:p>
            <w:pPr>
              <w:pStyle w:val="Compact"/>
              <w:jc w:val="left"/>
            </w:pPr>
            <w:r>
              <w:rPr>
                <w:lang w:val="en"/>
              </w:rPr>
              <w:t xml:space="preserve">360</w:t>
            </w:r>
          </w:p>
        </w:tc>
        <w:tc>
          <w:tcPr/>
          <w:p>
            <w:pPr>
              <w:pStyle w:val="Compact"/>
              <w:jc w:val="left"/>
            </w:pPr>
            <w:r>
              <w:rPr>
                <w:lang w:val="en"/>
              </w:rPr>
              <w:t xml:space="preserve">27,260</w:t>
            </w:r>
          </w:p>
        </w:tc>
      </w:tr>
      <w:tr>
        <w:tc>
          <w:tcPr/>
          <w:p>
            <w:pPr>
              <w:pStyle w:val="Compact"/>
              <w:jc w:val="left"/>
            </w:pPr>
            <w:r>
              <w:rPr>
                <w:lang w:val="en"/>
              </w:rPr>
              <w:t xml:space="preserve">PM2.5</w:t>
            </w:r>
          </w:p>
        </w:tc>
        <w:tc>
          <w:tcPr/>
          <w:p>
            <w:pPr>
              <w:pStyle w:val="Compact"/>
              <w:jc w:val="left"/>
            </w:pPr>
            <w:r>
              <w:rPr>
                <w:lang w:val="en"/>
              </w:rPr>
              <w:t xml:space="preserve">1,150</w:t>
            </w:r>
          </w:p>
        </w:tc>
        <w:tc>
          <w:tcPr/>
          <w:p>
            <w:pPr>
              <w:pStyle w:val="Compact"/>
              <w:jc w:val="left"/>
            </w:pPr>
            <w:r>
              <w:rPr>
                <w:lang w:val="en"/>
              </w:rPr>
              <w:t xml:space="preserve">75</w:t>
            </w:r>
          </w:p>
        </w:tc>
        <w:tc>
          <w:tcPr/>
          <w:p>
            <w:pPr>
              <w:pStyle w:val="Compact"/>
              <w:jc w:val="left"/>
            </w:pPr>
            <w:r>
              <w:rPr>
                <w:lang w:val="en"/>
              </w:rPr>
              <w:t xml:space="preserve">20</w:t>
            </w:r>
          </w:p>
        </w:tc>
        <w:tc>
          <w:tcPr/>
          <w:p>
            <w:pPr>
              <w:pStyle w:val="Compact"/>
              <w:jc w:val="left"/>
            </w:pPr>
            <w:r>
              <w:rPr>
                <w:lang w:val="en"/>
              </w:rPr>
              <w:t xml:space="preserve">1,245</w:t>
            </w:r>
          </w:p>
        </w:tc>
      </w:tr>
      <w:tr>
        <w:tc>
          <w:tcPr/>
          <w:p>
            <w:pPr>
              <w:pStyle w:val="Compact"/>
              <w:jc w:val="left"/>
            </w:pPr>
            <w:r>
              <w:rPr>
                <w:lang w:val="en"/>
              </w:rPr>
              <w:t xml:space="preserve">Black carbon (BC)</w:t>
            </w:r>
          </w:p>
        </w:tc>
        <w:tc>
          <w:tcPr/>
          <w:p>
            <w:pPr>
              <w:pStyle w:val="Compact"/>
              <w:jc w:val="left"/>
            </w:pPr>
            <w:r>
              <w:rPr>
                <w:lang w:val="en"/>
              </w:rPr>
              <w:t xml:space="preserve">165</w:t>
            </w:r>
          </w:p>
        </w:tc>
        <w:tc>
          <w:tcPr/>
          <w:p>
            <w:pPr>
              <w:pStyle w:val="Compact"/>
              <w:jc w:val="left"/>
            </w:pPr>
            <w:r>
              <w:rPr>
                <w:lang w:val="en"/>
              </w:rPr>
              <w:t xml:space="preserve">9</w:t>
            </w:r>
          </w:p>
        </w:tc>
        <w:tc>
          <w:tcPr/>
          <w:p>
            <w:pPr>
              <w:pStyle w:val="Compact"/>
              <w:jc w:val="left"/>
            </w:pPr>
            <w:r>
              <w:rPr>
                <w:lang w:val="en"/>
              </w:rPr>
              <w:t xml:space="preserve">2</w:t>
            </w:r>
          </w:p>
        </w:tc>
        <w:tc>
          <w:tcPr/>
          <w:p>
            <w:pPr>
              <w:pStyle w:val="Compact"/>
              <w:jc w:val="left"/>
            </w:pPr>
            <w:r>
              <w:rPr>
                <w:lang w:val="en"/>
              </w:rPr>
              <w:t xml:space="preserve">176</w:t>
            </w:r>
          </w:p>
        </w:tc>
      </w:tr>
    </w:tbl>
    <w:p>
      <w:pPr>
        <w:pStyle w:val="BodyText"/>
      </w:pPr>
      <w:r>
        <w:rPr>
          <w:lang w:val="en"/>
        </w:rPr>
        <w:t xml:space="preserve">¶10</w:t>
      </w:r>
      <w:r>
        <w:rPr>
          <w:lang w:val="en"/>
        </w:rPr>
        <w:t xml:space="preserve"> </w:t>
      </w:r>
      <w:r>
        <w:rPr>
          <w:lang w:val="en"/>
        </w:rPr>
        <w:t xml:space="preserve">The figures in Panel B are derived from the same fuel-consumption activity data used for Panel A, applying air pollutant emission factors from the EMEP/EEA Air Pollutant Emission Inventory Guidebook (2019), Chapter 1.A.3.d. Emission factors applied at the IMO 2020 global 0.50% sulphur cap (non-ECA). Compilers applying this method to pre-2020 data or ECA-regulated routes should substitute factors consistent with the applicable sulphur limit. For linkage to health impact assessment, see</w:t>
      </w:r>
      <w:r>
        <w:rPr>
          <w:lang w:val="en"/>
        </w:rPr>
        <w:t xml:space="preserve"> </w:t>
      </w:r>
      <w:hyperlink r:id="rId90">
        <w:r>
          <w:rPr>
            <w:rStyle w:val="Hyperlink"/>
            <w:bCs/>
            <w:b/>
            <w:lang w:val="en"/>
          </w:rPr>
          <w:t xml:space="preserve">TG-2.7 Pollution and Other Flows</w:t>
        </w:r>
      </w:hyperlink>
      <w:r>
        <w:rPr>
          <w:lang w:val="en"/>
        </w:rPr>
        <w:t xml:space="preserve">.</w:t>
      </w:r>
    </w:p>
    <w:p>
      <w:pPr>
        <w:pStyle w:val="BodyText"/>
      </w:pPr>
      <w:r>
        <w:rPr>
          <w:lang w:val="en"/>
        </w:rPr>
        <w:t xml:space="preserve">¶11</w:t>
      </w:r>
      <w:r>
        <w:rPr>
          <w:lang w:val="en"/>
        </w:rPr>
        <w:t xml:space="preserve"> </w:t>
      </w:r>
      <w:r>
        <w:rPr>
          <w:bCs/>
          <w:b/>
          <w:lang w:val="en"/>
        </w:rPr>
        <w:t xml:space="preserve">Table 3.7.4: Country B Port Infrastructure Capital Stock (PIM approach)</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Asset Type</w:t>
            </w:r>
          </w:p>
        </w:tc>
        <w:tc>
          <w:tcPr/>
          <w:p>
            <w:pPr>
              <w:pStyle w:val="Compact"/>
              <w:jc w:val="left"/>
            </w:pPr>
            <w:r>
              <w:rPr>
                <w:lang w:val="en"/>
              </w:rPr>
              <w:t xml:space="preserve">Gross Capital Stock</w:t>
            </w:r>
          </w:p>
        </w:tc>
        <w:tc>
          <w:tcPr/>
          <w:p>
            <w:pPr>
              <w:pStyle w:val="Compact"/>
              <w:jc w:val="left"/>
            </w:pPr>
            <w:r>
              <w:rPr>
                <w:lang w:val="en"/>
              </w:rPr>
              <w:t xml:space="preserve">Accumulated Depreciation</w:t>
            </w:r>
          </w:p>
        </w:tc>
        <w:tc>
          <w:tcPr/>
          <w:p>
            <w:pPr>
              <w:pStyle w:val="Compact"/>
              <w:jc w:val="left"/>
            </w:pPr>
            <w:r>
              <w:rPr>
                <w:lang w:val="en"/>
              </w:rPr>
              <w:t xml:space="preserve">Net Capital Stock</w:t>
            </w:r>
          </w:p>
        </w:tc>
        <w:tc>
          <w:tcPr/>
          <w:p>
            <w:pPr>
              <w:pStyle w:val="Compact"/>
              <w:jc w:val="left"/>
            </w:pPr>
            <w:r>
              <w:rPr>
                <w:lang w:val="en"/>
              </w:rPr>
              <w:t xml:space="preserve">Annual Depreciation</w:t>
            </w:r>
          </w:p>
        </w:tc>
      </w:tr>
      <w:tr>
        <w:tc>
          <w:tcPr/>
          <w:p>
            <w:pPr>
              <w:pStyle w:val="Compact"/>
              <w:jc w:val="left"/>
            </w:pPr>
            <w:r>
              <w:rPr>
                <w:lang w:val="en"/>
              </w:rPr>
              <w:t xml:space="preserve">Quay walls and berths</w:t>
            </w:r>
          </w:p>
        </w:tc>
        <w:tc>
          <w:tcPr/>
          <w:p>
            <w:pPr>
              <w:pStyle w:val="Compact"/>
              <w:jc w:val="left"/>
            </w:pPr>
            <w:r>
              <w:rPr>
                <w:lang w:val="en"/>
              </w:rPr>
              <w:t xml:space="preserve">1,200</w:t>
            </w:r>
          </w:p>
        </w:tc>
        <w:tc>
          <w:tcPr/>
          <w:p>
            <w:pPr>
              <w:pStyle w:val="Compact"/>
              <w:jc w:val="left"/>
            </w:pPr>
            <w:r>
              <w:rPr>
                <w:lang w:val="en"/>
              </w:rPr>
              <w:t xml:space="preserve">480</w:t>
            </w:r>
          </w:p>
        </w:tc>
        <w:tc>
          <w:tcPr/>
          <w:p>
            <w:pPr>
              <w:pStyle w:val="Compact"/>
              <w:jc w:val="left"/>
            </w:pPr>
            <w:r>
              <w:rPr>
                <w:lang w:val="en"/>
              </w:rPr>
              <w:t xml:space="preserve">720</w:t>
            </w:r>
          </w:p>
        </w:tc>
        <w:tc>
          <w:tcPr/>
          <w:p>
            <w:pPr>
              <w:pStyle w:val="Compact"/>
              <w:jc w:val="left"/>
            </w:pPr>
            <w:r>
              <w:rPr>
                <w:lang w:val="en"/>
              </w:rPr>
              <w:t xml:space="preserve">20</w:t>
            </w:r>
          </w:p>
        </w:tc>
      </w:tr>
      <w:tr>
        <w:tc>
          <w:tcPr/>
          <w:p>
            <w:pPr>
              <w:pStyle w:val="Compact"/>
              <w:jc w:val="left"/>
            </w:pPr>
            <w:r>
              <w:rPr>
                <w:lang w:val="en"/>
              </w:rPr>
              <w:t xml:space="preserve">Container handling equipment</w:t>
            </w:r>
          </w:p>
        </w:tc>
        <w:tc>
          <w:tcPr/>
          <w:p>
            <w:pPr>
              <w:pStyle w:val="Compact"/>
              <w:jc w:val="left"/>
            </w:pPr>
            <w:r>
              <w:rPr>
                <w:lang w:val="en"/>
              </w:rPr>
              <w:t xml:space="preserve">350</w:t>
            </w:r>
          </w:p>
        </w:tc>
        <w:tc>
          <w:tcPr/>
          <w:p>
            <w:pPr>
              <w:pStyle w:val="Compact"/>
              <w:jc w:val="left"/>
            </w:pPr>
            <w:r>
              <w:rPr>
                <w:lang w:val="en"/>
              </w:rPr>
              <w:t xml:space="preserve">210</w:t>
            </w:r>
          </w:p>
        </w:tc>
        <w:tc>
          <w:tcPr/>
          <w:p>
            <w:pPr>
              <w:pStyle w:val="Compact"/>
              <w:jc w:val="left"/>
            </w:pPr>
            <w:r>
              <w:rPr>
                <w:lang w:val="en"/>
              </w:rPr>
              <w:t xml:space="preserve">140</w:t>
            </w:r>
          </w:p>
        </w:tc>
        <w:tc>
          <w:tcPr/>
          <w:p>
            <w:pPr>
              <w:pStyle w:val="Compact"/>
              <w:jc w:val="left"/>
            </w:pPr>
            <w:r>
              <w:rPr>
                <w:lang w:val="en"/>
              </w:rPr>
              <w:t xml:space="preserve">23</w:t>
            </w:r>
          </w:p>
        </w:tc>
      </w:tr>
      <w:tr>
        <w:tc>
          <w:tcPr/>
          <w:p>
            <w:pPr>
              <w:pStyle w:val="Compact"/>
              <w:jc w:val="left"/>
            </w:pPr>
            <w:r>
              <w:rPr>
                <w:lang w:val="en"/>
              </w:rPr>
              <w:t xml:space="preserve">Port buildings and facilities</w:t>
            </w:r>
          </w:p>
        </w:tc>
        <w:tc>
          <w:tcPr/>
          <w:p>
            <w:pPr>
              <w:pStyle w:val="Compact"/>
              <w:jc w:val="left"/>
            </w:pPr>
            <w:r>
              <w:rPr>
                <w:lang w:val="en"/>
              </w:rPr>
              <w:t xml:space="preserve">280</w:t>
            </w:r>
          </w:p>
        </w:tc>
        <w:tc>
          <w:tcPr/>
          <w:p>
            <w:pPr>
              <w:pStyle w:val="Compact"/>
              <w:jc w:val="left"/>
            </w:pPr>
            <w:r>
              <w:rPr>
                <w:lang w:val="en"/>
              </w:rPr>
              <w:t xml:space="preserve">140</w:t>
            </w:r>
          </w:p>
        </w:tc>
        <w:tc>
          <w:tcPr/>
          <w:p>
            <w:pPr>
              <w:pStyle w:val="Compact"/>
              <w:jc w:val="left"/>
            </w:pPr>
            <w:r>
              <w:rPr>
                <w:lang w:val="en"/>
              </w:rPr>
              <w:t xml:space="preserve">140</w:t>
            </w:r>
          </w:p>
        </w:tc>
        <w:tc>
          <w:tcPr/>
          <w:p>
            <w:pPr>
              <w:pStyle w:val="Compact"/>
              <w:jc w:val="left"/>
            </w:pPr>
            <w:r>
              <w:rPr>
                <w:lang w:val="en"/>
              </w:rPr>
              <w:t xml:space="preserve">8</w:t>
            </w:r>
          </w:p>
        </w:tc>
      </w:tr>
      <w:tr>
        <w:tc>
          <w:tcPr/>
          <w:p>
            <w:pPr>
              <w:pStyle w:val="Compact"/>
              <w:jc w:val="left"/>
            </w:pPr>
            <w:r>
              <w:rPr>
                <w:lang w:val="en"/>
              </w:rPr>
              <w:t xml:space="preserve">Breakwaters and navigation aids</w:t>
            </w:r>
          </w:p>
        </w:tc>
        <w:tc>
          <w:tcPr/>
          <w:p>
            <w:pPr>
              <w:pStyle w:val="Compact"/>
              <w:jc w:val="left"/>
            </w:pPr>
            <w:r>
              <w:rPr>
                <w:lang w:val="en"/>
              </w:rPr>
              <w:t xml:space="preserve">450</w:t>
            </w:r>
          </w:p>
        </w:tc>
        <w:tc>
          <w:tcPr/>
          <w:p>
            <w:pPr>
              <w:pStyle w:val="Compact"/>
              <w:jc w:val="left"/>
            </w:pPr>
            <w:r>
              <w:rPr>
                <w:lang w:val="en"/>
              </w:rPr>
              <w:t xml:space="preserve">180</w:t>
            </w:r>
          </w:p>
        </w:tc>
        <w:tc>
          <w:tcPr/>
          <w:p>
            <w:pPr>
              <w:pStyle w:val="Compact"/>
              <w:jc w:val="left"/>
            </w:pPr>
            <w:r>
              <w:rPr>
                <w:lang w:val="en"/>
              </w:rPr>
              <w:t xml:space="preserve">270</w:t>
            </w:r>
          </w:p>
        </w:tc>
        <w:tc>
          <w:tcPr/>
          <w:p>
            <w:pPr>
              <w:pStyle w:val="Compact"/>
              <w:jc w:val="left"/>
            </w:pPr>
            <w:r>
              <w:rPr>
                <w:lang w:val="en"/>
              </w:rPr>
              <w:t xml:space="preserve">9</w:t>
            </w:r>
          </w:p>
        </w:tc>
      </w:tr>
      <w:tr>
        <w:tc>
          <w:tcPr/>
          <w:p>
            <w:pPr>
              <w:pStyle w:val="Compact"/>
              <w:jc w:val="left"/>
            </w:pPr>
            <w:r>
              <w:rPr>
                <w:lang w:val="en"/>
              </w:rPr>
              <w:t xml:space="preserve">Total port infrastructure</w:t>
            </w:r>
          </w:p>
        </w:tc>
        <w:tc>
          <w:tcPr/>
          <w:p>
            <w:pPr>
              <w:pStyle w:val="Compact"/>
              <w:jc w:val="left"/>
            </w:pPr>
            <w:r>
              <w:rPr>
                <w:lang w:val="en"/>
              </w:rPr>
              <w:t xml:space="preserve">2,280</w:t>
            </w:r>
          </w:p>
        </w:tc>
        <w:tc>
          <w:tcPr/>
          <w:p>
            <w:pPr>
              <w:pStyle w:val="Compact"/>
              <w:jc w:val="left"/>
            </w:pPr>
            <w:r>
              <w:rPr>
                <w:lang w:val="en"/>
              </w:rPr>
              <w:t xml:space="preserve">1,010</w:t>
            </w:r>
          </w:p>
        </w:tc>
        <w:tc>
          <w:tcPr/>
          <w:p>
            <w:pPr>
              <w:pStyle w:val="Compact"/>
              <w:jc w:val="left"/>
            </w:pPr>
            <w:r>
              <w:rPr>
                <w:lang w:val="en"/>
              </w:rPr>
              <w:t xml:space="preserve">1,270</w:t>
            </w:r>
          </w:p>
        </w:tc>
        <w:tc>
          <w:tcPr/>
          <w:p>
            <w:pPr>
              <w:pStyle w:val="Compact"/>
              <w:jc w:val="left"/>
            </w:pPr>
            <w:r>
              <w:rPr>
                <w:lang w:val="en"/>
              </w:rPr>
              <w:t xml:space="preserve">60</w:t>
            </w:r>
          </w:p>
        </w:tc>
      </w:tr>
    </w:tbl>
    <w:p>
      <w:pPr>
        <w:pStyle w:val="BodyText"/>
      </w:pPr>
      <w:r>
        <w:rPr>
          <w:lang w:val="en"/>
        </w:rPr>
        <w:t xml:space="preserve">¶12</w:t>
      </w:r>
      <w:r>
        <w:rPr>
          <w:lang w:val="en"/>
        </w:rPr>
        <w:t xml:space="preserve"> </w:t>
      </w:r>
      <w:r>
        <w:rPr>
          <w:lang w:val="en"/>
        </w:rPr>
        <w:t xml:space="preserve">All monetary values in millions of USD at current replacement cost. The net capital stock of USD 1,270 million represents approximately 4.2 times the annual GVA from port services (USD 300 million). Vessel capital stock for ISIC 501 (not shown: see Section 3.2.4) is compiled separately under SNA asset class AN1131. The compilation applies vessel-type-specific PIM parameters. The USD 60 million annual depreciation on port infrastructure is lower than port-services depreciation in Table 3.7.1 (USD 85 million) because ISIC 5222 depreciation also covers fixed assets outside this table; compilers should reconcile the two and document the USD 25 million difference by asset type.</w:t>
      </w:r>
    </w:p>
    <w:p>
      <w:pPr>
        <w:pStyle w:val="BodyText"/>
      </w:pPr>
      <w:r>
        <w:rPr>
          <w:lang w:val="en"/>
        </w:rPr>
        <w:t xml:space="preserve">¶13</w:t>
      </w:r>
      <w:r>
        <w:rPr>
          <w:lang w:val="en"/>
        </w:rPr>
        <w:t xml:space="preserve"> </w:t>
      </w:r>
      <w:r>
        <w:rPr>
          <w:lang w:val="en"/>
        </w:rPr>
        <w:t xml:space="preserve">The maritime transport sector contributes 1.3 per cent of Country B’s GDP (USD 1,055 million / USD 80 billion) whilst employing 0.30 per cent of the workforce (45,600 / 15 million). The GHG emission intensity of 1,287 kg CO2e per USD 1,000 of GVA provides a baseline for tracking decarbonisation progress under IMO targets.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37" name="Picture"/>
                  <a:graphic>
                    <a:graphicData uri="http://schemas.openxmlformats.org/drawingml/2006/picture">
                      <pic:pic>
                        <pic:nvPicPr>
                          <pic:cNvPr descr="data:image/svg+xml;base64,PHN2ZyB2aWV3Ym94PSIwIDAgNzYwIDQ4NiIgeG1sbnM9Imh0dHA6Ly93d3cudzMub3JnLzIwMDAvc3ZnIiByb2xlPSJpbWciIGFyaWEtbGFiZWxsZWRieT0iZmlndGl0bGUgZmlnZGVzYyI+CiAgICAgICAgPHRpdGxlIGlkPSJmaWctdGctNi0xMC0xLWlzaWMtY2xhc3NpZmljYXRpb24taGllcmFyY2h5LWZpZ3RpdGxlIj5URy02LjEwIC0tIElTSUMgUmV2LjQgbWFyaXRpbWUgdHJhbnNwb3J0IGNsYXNzZXMgcm91dGVkIGJ5IG9jZWFuIHJhdGlvPC90aXRsZT4KICAgICAgICA8ZGVzYyBpZD0iZmlnLXRnLTYtMTAtMS1pc2ljLWNsYXNzaWZpY2F0aW9uLWhpZXJhcmNoeS1maWdkZXNjIj5BIHRocmVlLWxhbmUgdHJlYXRtZW50LXJvdXRpbmcgZGlhZ3JhbS4gRWFjaCBJU0lDIFJldi40IGNsYXNzIHJlbGV2YW50IHRvIG1hcml0aW1lIHRyYW5zcG9ydCBpcyByb3V0ZWQgdG8gb25lIG9mIHRocmVlIGFjY291bnRpbmcgdHJlYXRtZW50cyBieSBpdHMgb2NlYW4gcmF0aW8gKHRoZSBzaGFyZSBvZiBvdXRwdXQgYXR0cmlidXRhYmxlIHRvIG1hcml0aW1lIGFjdGl2aXR5KS4gTGFuZSAxIChmdWxsIGluY2x1c2lvbiwgb2NlYW4gcmF0aW8gPSAxLjApOiBzZWEgYW5kIGNvYXN0YWwgcGFzc2VuZ2VyIHRyYW5zcG9ydCBINTAxMSwgc2VhIGFuZCBjb2FzdGFsIGZyZWlnaHQgdHJhbnNwb3J0IEg1MDEyLCBhbmQgc2VydmljZSBhY3Rpdml0aWVzIGluY2lkZW50YWwgdG8gd2F0ZXIgdHJhbnNwb3J0YXRpb24gSDUyMjIgLS0gaW5jbHVkZWQgYXQgZnVsbCBncm9zcyB2YWx1ZSBhZGRlZCB3aXRoIG5vIGFwcG9ydGlvbm1lbnQuIExhbmUgMiAoYXBwb3J0aW9uZWQsIG9jZWFuIHJhdGlvIGxlc3MgdGhhbiAxLjApOiBjYXJnbyBoYW5kbGluZyBINTIyNCAocG9ydCBwb3J0aW9uIG9ubHksIGlsbHVzdHJhdGl2ZSBtYXJpdGltZSByYXRpbyAwLjcwKSBhbmQgaW5sYW5kIHdhdGVyIHRyYW5zcG9ydCBINTAyIChjbGFzc2VzIDUwMjEgYW5kIDUwMjIsIG1hcml0aW1lIHNoYXJlIGFzc2lnbmVkIGJ5IHByZWRvbWluYW50IGFyZWEgb2Ygb3BlcmF0aW9uKSAtLSBpbmNsdWRlZCBvbmx5IGZvciB0aGUgZG9jdW1lbnRlZCBtYXJpdGltZSBzaGFyZS4gTGFuZSAzIChleGNsdWRlZCBmcm9tIHRoaXMgYWNjb3VudCBvciBzdXBwbGVtZW50YXJ5KTogb3RoZXIgdHJhbnNwb3J0IHN1cHBvcnQgSDUyMjkgKHN1cHBsZW1lbnRhcnkpLCB0aGUgU2VjdGlvbiBIIHNpYmxpbmcgZGl2aXNpb25zIEg0OSBsYW5kIHRyYW5zcG9ydCBhbmQgcGlwZWxpbmVzLCBINTEgYWlyIHRyYW5zcG9ydCwgSDUzIHBvc3RhbCBhbmQgY291cmllciwgYW5kIERpdmlzaW9uIDMwIHNoaXBidWlsZGluZyAtLSByZWNvcmRlZCB1bmRlciBnZW5lcmFsIGluZHVzdHJ5IGFjY291bnRzLiBOb3RlIHRoYXQgc2hpcGJ1aWxkaW5nIGlzIGV4Y2x1ZGVkIGZyb20gdGhpcyB0cmFuc3BvcnQgYWNjb3VudCBvbmx5OyBpdCByZW1haW5zIGFuIG9jZWFuLXJlbGF0ZWQgYWN0aXZpdHkgd2l0aGluIHRoZSBvY2VhbiBlY29ub215IHVuZGVyIFRHLTMuMy4gVGhlIG9yZ2FuaXNpbmcgYXhpcyBpcyBhY2NvdW50aW5nIHRyZWF0bWVudCwgbm90IGNsYXNzaWZpY2F0aW9uIGhpZXJhcmNoeTogaXQgZm9yZWdyb3VuZHMgd2hlcmUgYXBwb3J0aW9ubWVudCB3b3JrIGlzIHJlcXVpcmVkLjwvZGVzYz4KCiAgICAgICAgPCEtLSA9PT09PT09PT09PT09PT09PT09PT09PT09PT09PT09PT09PT09PT09PT09PT09PT09PT09PT09PT09PT0KICAgICAgICAgICAgIFRJVExFCiAgICAgICAgICAgICA9PT09PT09PT09PT09PT09PT09PT09PT09PT09PT09PT09PT09PT09PT09PT09PT09PT09PT09PT09PT0gLS0+CiAgICAgICAgPHRleHQgeD0iMzgwIiB5PSIyNiIgdGV4dC1hbmNob3I9Im1pZGRsZSIgY2xhc3M9Imdyb3VwLWxhYmVsIiBmb250LXdlaWdodD0iNjAwIiBmaWxsPSJ2YXIoLS1icmFuZC1kYXJrKSI+SVNJQyBSZXYuNCBtYXJpdGltZSB0cmFuc3BvcnQgLS0gYWNjb3VudGluZyB0cmVhdG1lbnQgYnkgb2NlYW4gcmF0aW88L3RleHQ+CgogICAgICAgIDwhLS0gPT09PT09PT09PT09PT09PT09PT09PT09PT09PT09PT09PT09PT09PT09PT09PT09PT09PT09PT09PT09CiAgICAgICAgICAgICBMQU5FIDEgLS0gRlVMTCBJTkNMVVNJT04gKG9jZWFuIHJhdGlvID0gMS4wKQogICAgICAgICAgICAgPT09PT09PT09PT09PT09PT09PT09PT09PT09PT09PT09PT09PT09PT09PT09PT09PT09PT09PT09PT09IC0tPgogICAgICAgIDxyZWN0IHg9IjIyIiB5PSI0NCIgd2lkdGg9IjIzMCIgaGVpZ2h0PSIzNDYiIGNsYXNzPSJsYW5lIiByeD0iOCI+PC9yZWN0PgogICAgICAgIDx0ZXh0IHg9IjEzNyIgeT0iNjgiIHRleHQtYW5jaG9yPSJtaWRkbGUiIGNsYXNzPSJoZWFkLXRpdGxlIiBmaWxsPSJ2YXIoLS10ZWFsLXN0cm9rZSkiPkZVTEwgSU5DTFVTSU9OPC90ZXh0PgogICAgICAgIDx0ZXh0IHg9IjEzNyIgeT0iODMiIHRleHQtYW5jaG9yPSJtaWRkbGUiIGNsYXNzPSJoZWFkLXN1YiIgZmlsbD0idmFyKC0tdGVhbC1zdHJva2UpIj5vY2VhbiByYXRpbyA9IDEuMDwvdGV4dD4KICAgICAgICA8bGluZSB4MT0iNDAiIHkxPSI5MiIgeDI9IjIzNCIgeTI9IjkyIiBzdHJva2U9InZhcigtLXRlYWwtc3Ryb2tlKSIgc3Ryb2tlLXdpZHRoPSIxLjUiPjwvbGluZT4KCiAgICAgICAgPCEtLSBINTAxMSAtLT4KICAgICAgICA8cmVjdCB4PSIzNCIgeT0iMTA0IiB3aWR0aD0iMjA2IiBoZWlnaHQ9IjU2IiBjbGFzcz0ibi1hbmNob3IiIHJ4PSI0Ij48L3JlY3Q+CiAgICAgICAgPHRleHQgeD0iMTM3IiB5PSIxMjQiIHRleHQtYW5jaG9yPSJtaWRkbGUiIGNsYXNzPSJub2RlLWxhYmVsIGFuY2hvciI+SDUwMTEKICAgICAgICAgIDx0c3BhbiB4PSIxMzciIGR5PSIxNSIgY2xhc3M9Im5vZGUtZGVzYyI+U2VhICZhbXA7IGNvYXN0YWwgcGFzc2VuZ2VyPC90c3Bhbj4KICAgICAgICAgIDx0c3BhbiB4PSIxMzciIGR5PSIxMiIgY2xhc3M9Im5vZGUtZGVzYyI+d2F0ZXIgdHJhbnNwb3J0PC90c3Bhbj4KICAgICAgICA8L3RleHQ+CgogICAgICAgIDwhLS0gSDUwMTIgLS0+CiAgICAgICAgPHJlY3QgeD0iMzQiIHk9IjE3MCIgd2lkdGg9IjIwNiIgaGVpZ2h0PSI1NiIgY2xhc3M9Im4tYW5jaG9yIiByeD0iNCI+PC9yZWN0PgogICAgICAgIDx0ZXh0IHg9IjEzNyIgeT0iMTkwIiB0ZXh0LWFuY2hvcj0ibWlkZGxlIiBjbGFzcz0ibm9kZS1sYWJlbCBhbmNob3IiPkg1MDEyCiAgICAgICAgICA8dHNwYW4geD0iMTM3IiBkeT0iMTUiIGNsYXNzPSJub2RlLWRlc2MiPlNlYSAmYW1wOyBjb2FzdGFsIGZyZWlnaHQ8L3RzcGFuPgogICAgICAgICAgPHRzcGFuIHg9IjEzNyIgZHk9IjEyIiBjbGFzcz0ibm9kZS1kZXNjIj53YXRlciB0cmFuc3BvcnQ8L3RzcGFuPgogICAgICAgIDwvdGV4dD4KCiAgICAgICAgPCEtLSBINTIyMiAtLT4KICAgICAgICA8cmVjdCB4PSIzNCIgeT0iMjM2IiB3aWR0aD0iMjA2IiBoZWlnaHQ9IjY4IiBjbGFzcz0ibi1hbmNob3IiIHJ4PSI0Ij48L3JlY3Q+CiAgICAgICAgPHRleHQgeD0iMTM3IiB5PSIyNTYiIHRleHQtYW5jaG9yPSJtaWRkbGUiIGNsYXNzPSJub2RlLWxhYmVsIGFuY2hvciI+SDUyMjIKICAgICAgICAgIDx0c3BhbiB4PSIxMzciIGR5PSIxNSIgY2xhc3M9Im5vZGUtZGVzYyI+U2VydmljZSBhY3Rpdml0aWVzIGluY2lkZW50YWw8L3RzcGFuPgogICAgICAgICAgPHRzcGFuIHg9IjEzNyIgZHk9IjEyIiBjbGFzcz0ibm9kZS1kZXNjIj50byB3YXRlciB0cmFuc3BvcnRhdGlvbjwvdHNwYW4+CiAgICAgICAgICA8dHNwYW4geD0iMTM3IiBkeT0iMTIiIGNsYXNzPSJub2RlLWRlc2MiPihwb3J0cywgcGlsb3RhZ2UsIG5hdmlnYXRpb24pPC90c3Bhbj4KICAgICAgICA8L3RleHQ+CgogICAgICAgIDwhLS0gVHJlYXRtZW50IG5vdGUgLS0+CiAgICAgICAgPHJlY3QgeD0iMzQiIHk9IjMzMCIgd2lkdGg9IjIwNiIgaGVpZ2h0PSI1MCIgY2xhc3M9Im5vdGUtc3RyaXAiIHJ4PSI0Ij48L3JlY3Q+CiAgICAgICAgPHRleHQgeD0iMTM3IiB5PSIzNDkiIHRleHQtYW5jaG9yPSJtaWRkbGUiIGNsYXNzPSJub3RlLXRleHQiPkluY2x1ZGUgZnVsbCBncm9zcyB2YWx1ZQogICAgICAgICAgPHRzcGFuIHg9IjEzNyIgZHk9IjEyIiBjbGFzcz0ibm90ZS10ZXh0Ij5hZGRlZCAtLSBubyBhcHBvcnRpb25tZW50PC90c3Bhbj4KICAgICAgICAgIDx0c3BhbiB4PSIxMzciIGR5PSIxMiIgY2xhc3M9Im5vdGUtdGV4dCI+c3RlcCByZXF1aXJlZC48L3RzcGFuPgogICAgICAgIDwvdGV4dD4KCiAgICAgICAgPCEtLSA9PT09PT09PT09PT09PT09PT09PT09PT09PT09PT09PT09PT09PT09PT09PT09PT09PT09PT09PT09PT0KICAgICAgICAgICAgIExBTkUgMiAtLSBBUFBPUlRJT05FRCAob2NlYW4gcmF0aW8gPCAxLjApCiAgICAgICAgICAgICA9PT09PT09PT09PT09PT09PT09PT09PT09PT09PT09PT09PT09PT09PT09PT09PT09PT09PT09PT09PT0gLS0+CiAgICAgICAgPHJlY3QgeD0iMjY0IiB5PSI0NCIgd2lkdGg9IjIzMCIgaGVpZ2h0PSIzNDYiIGNsYXNzPSJsYW5lIiByeD0iOCI+PC9yZWN0PgogICAgICAgIDx0ZXh0IHg9IjM3OSIgeT0iNjgiIHRleHQtYW5jaG9yPSJtaWRkbGUiIGNsYXNzPSJoZWFkLXRpdGxlIiBmaWxsPSJ2YXIoLS1vY2hyZS1zdHJva2UpIj5BUFBPUlRJT05FRDwvdGV4dD4KICAgICAgICA8dGV4dCB4PSIzNzkiIHk9IjgzIiB0ZXh0LWFuY2hvcj0ibWlkZGxlIiBjbGFzcz0iaGVhZC1zdWIiIGZpbGw9InZhcigtLW9jaHJlLXN0cm9rZSkiPm9jZWFuIHJhdGlvICZsdDsgMS4wPC90ZXh0PgogICAgICAgIDxsaW5lIHgxPSIyODIiIHkxPSI5MiIgeDI9IjQ3NiIgeTI9IjkyIiBzdHJva2U9InZhcigtLW9jaHJlLXN0cm9rZSkiIHN0cm9rZS13aWR0aD0iMS41Ij48L2xpbmU+CgogICAgICAgIDwhLS0gSDUyMjQgLS0+CiAgICAgICAgPHJlY3QgeD0iMjc2IiB5PSIxMDQiIHdpZHRoPSIyMDYiIGhlaWdodD0iNzYiIGNsYXNzPSJuLWRlY2lzaW9uIiByeD0iNCI+PC9yZWN0PgogICAgICAgIDx0ZXh0IHg9IjM3OSIgeT0iMTI0IiB0ZXh0LWFuY2hvcj0ibWlkZGxlIiBjbGFzcz0ibm9kZS1sYWJlbCBhbmNob3IiPkg1MjI0IC0tIENhcmdvIGhhbmRsaW5nCiAgICAgICAgICA8dHNwYW4geD0iMzc5IiBkeT0iMTUiIGNsYXNzPSJub2RlLWRlc2MiPlBvcnQgcG9ydGlvbiBvbmx5PC90c3Bhbj4KICAgICAgICAgIDx0c3BhbiB4PSIzNzkiIGR5PSIxMiIgY2xhc3M9Im5vZGUtZGVzYyI+KGxvYWRpbmcgLyB1bmxvYWRpbmcgb2YgdmVzc2Vscyk8L3RzcGFuPgogICAgICAgICAgPHRzcGFuIHg9IjM3OSIgZHk9IjEyIiBjbGFzcz0ibm9kZS1kZXNjIj5pbGx1c3RyYXRpdmUgbWFyaXRpbWUgcmF0aW8gMC43MDwvdHNwYW4+CiAgICAgICAgPC90ZXh0PgoKICAgICAgICA8IS0tIEg1MDIgLS0+CiAgICAgICAgPHJlY3QgeD0iMjc2IiB5PSIxOTIiIHdpZHRoPSIyMDYiIGhlaWdodD0iODQiIGNsYXNzPSJuLWRlY2lzaW9uIiByeD0iNCI+PC9yZWN0PgogICAgICAgIDx0ZXh0IHg9IjM3OSIgeT0iMjEyIiB0ZXh0LWFuY2hvcj0ibWlkZGxlIiBjbGFzcz0ibm9kZS1sYWJlbCBhbmNob3IiPkg1MDIgLS0gSW5sYW5kIHdhdGVyIHRyYW5zcG9ydAogICAgICAgICAgPHRzcGFuIHg9IjM3OSIgZHk9IjE1IiBjbGFzcz0ibm9kZS1kZXNjIj4oNTAyMSBwYXNzZW5nZXIsIDUwMjIgZnJlaWdodCk8L3RzcGFuPgogICAgICAgICAgPHRzcGFuIHg9IjM3OSIgZHk9IjEyIiBjbGFzcz0ibm9kZS1kZXNjIj5NYXJpdGltZSBzaGFyZSBhc3NpZ25lZCBieTwvdHNwYW4+CiAgICAgICAgICA8dHNwYW4geD0iMzc5IiBkeT0iMTIiIGNsYXNzPSJub2RlLWRlc2MiPnByZWRvbWluYW50IGFyZWEgb2Ygb3BlcmF0aW9uOzwvdHNwYW4+CiAgICAgICAgICA8dHNwYW4geD0iMzc5IiBkeT0iMTIiIGNsYXNzPSJub2RlLWRlc2MiPmRvY3VtZW50IHRoZSBydWxlIGluIG1ldGFkYXRhPC90c3Bhbj4KICAgICAgICA8L3RleHQ+CgogICAgICAgIDwhLS0gVHJlYXRtZW50IG5vdGUgLS0+CiAgICAgICAgPHJlY3QgeD0iMjc2IiB5PSIzMzAiIHdpZHRoPSIyMDYiIGhlaWdodD0iNTAiIGNsYXNzPSJub3RlLXN0cmlwIiByeD0iNCI+PC9yZWN0PgogICAgICAgIDx0ZXh0IHg9IjM3OSIgeT0iMzQ5IiB0ZXh0LWFuY2hvcj0ibWlkZGxlIiBjbGFzcz0ibm90ZS10ZXh0Ij5BcHBseSBhIGRvY3VtZW50ZWQgbWFyaXRpbWUKICAgICAgICAgIDx0c3BhbiB4PSIzNzkiIGR5PSIxMiIgY2xhc3M9Im5vdGUtdGV4dCI+cmF0aW8gKMKnMy42IFN0ZXAgMyk7IHJlcG9ydCB0aGU8L3RzcGFuPgogICAgICAgICAgPHRzcGFuIHg9IjM3OSIgZHk9IjEyIiBjbGFzcz0ibm90ZS10ZXh0Ij5tZXRob2QgJmFtcDsgcmFuZ2UgaW4gbWV0YWRhdGEuPC90c3Bhbj4KICAgICAgICA8L3RleHQ+CgogICAgICAgIDwhLS0gPT09PT09PT09PT09PT09PT09PT09PT09PT09PT09PT09PT09PT09PT09PT09PT09PT09PT09PT09PT09CiAgICAgICAgICAgICBMQU5FIDMgLS0gT1VUIE9GIFNDT1BFIC8gU1VQUExFTUVOVEFSWQogICAgICAgICAgICAgPT09PT09PT09PT09PT09PT09PT09PT09PT09PT09PT09PT09PT09PT09PT09PT09PT09PT09PT09PT09IC0tPgogICAgICAgIDxyZWN0IHg9IjUwNiIgeT0iNDQiIHdpZHRoPSIyMzAiIGhlaWdodD0iMzQ2IiBjbGFzcz0ibGFuZSIgcng9IjgiPjwvcmVjdD4KICAgICAgICA8dGV4dCB4PSI2MjEiIHk9IjY4IiB0ZXh0LWFuY2hvcj0ibWlkZGxlIiBjbGFzcz0iaGVhZC10aXRsZSIgZmlsbD0idmFyKC0tc2xhdGUtc3Ryb2tlKSI+RVhDTFVERUQgRlJPTTwvdGV4dD4KICAgICAgICA8dGV4dCB4PSI2MjEiIHk9IjgzIiB0ZXh0LWFuY2hvcj0ibWlkZGxlIiBjbGFzcz0iaGVhZC10aXRsZSIgZmlsbD0idmFyKC0tc2xhdGUtc3Ryb2tlKSI+VEhJUyBBQ0NPVU5UIC8gU1VQUEwuPC90ZXh0PgogICAgICAgIDxsaW5lIHgxPSI1MTQiIHkxPSI5MiIgeDI9IjcyOCIgeTI9IjkyIiBzdHJva2U9InZhcigtLXNsYXRlLXN0cm9rZSkiIHN0cm9rZS13aWR0aD0iMS41Ij48L2xpbmU+CgogICAgICAgIDwhLS0gSDUyMjkgLS0+CiAgICAgICAgPHJlY3QgeD0iNTEwIiB5PSIxMDQiIHdpZHRoPSIyMDYiIGhlaWdodD0iNjAiIGNsYXNzPSJuLW11dGVkIiByeD0iNCI+PC9yZWN0PgogICAgICAgIDx0ZXh0IHg9IjYyMSIgeT0iMTIyIiB0ZXh0LWFuY2hvcj0ibWlkZGxlIiBjbGFzcz0ibm9kZS1sYWJlbCI+SDUyMjkKICAgICAgICAgIDx0c3BhbiB4PSI2MjEiIGR5PSIxNCIgY2xhc3M9Im5vZGUtZGVzYyI+T3RoZXIgdHJhbnNwb3J0IHN1cHBvcnQ8L3RzcGFuPgogICAgICAgICAgPHRzcGFuIHg9IjYyMSIgZHk9IjEyIiBjbGFzcz0ibm9kZS1kZXNjIj4oZnJlaWdodCBmb3J3YXJkaW5nLCBjdXN0b21zKTwvdHNwYW4+CiAgICAgICAgICA8dHNwYW4geD0iNjIxIiBkeT0iMTIiIGNsYXNzPSJub2RlLXRhZyIgZmlsbD0idmFyKC0tc2xhdGUtc3Ryb2tlKSI+U3VwcGxlbWVudGFyeSAtLSBpZiBtYXRlcmlhbDwvdHNwYW4+CiAgICAgICAgPC90ZXh0PgoKICAgICAgICA8IS0tIFNlY3Rpb24gSCBzaWJsaW5ncyAtLT4KICAgICAgICA8cmVjdCB4PSI1MTAiIHk9IjE3NiIgd2lkdGg9IjIwNiIgaGVpZ2h0PSI3MiIgY2xhc3M9Im4tbXV0ZWQiIHJ4PSI0Ij48L3JlY3Q+CiAgICAgICAgPHRleHQgeD0iNjIxIiB5PSIxOTQiIHRleHQtYW5jaG9yPSJtaWRkbGUiIGNsYXNzPSJub2RlLWxhYmVsIj5TZWN0aW9uIEggc2libGluZ3MKICAgICAgICAgIDx0c3BhbiB4PSI2MjEiIGR5PSIxNCIgY2xhc3M9Im5vZGUtZGVzYyI+SDQ5IExhbmQgdHJhbnNwb3J0ICZhbXA7IHBpcGVsaW5lczwvdHNwYW4+CiAgICAgICAgICA8dHNwYW4geD0iNjIxIiBkeT0iMTIiIGNsYXNzPSJub2RlLWRlc2MiPkg1MSBBaXIgdHJhbnNwb3J0PC90c3Bhbj4KICAgICAgICAgIDx0c3BhbiB4PSI2MjEiIGR5PSIxMiIgY2xhc3M9Im5vZGUtZGVzYyI+SDUzIFBvc3RhbCAmYW1wOyBjb3VyaWVyPC90c3Bhbj4KICAgICAgICA8L3RleHQ+CgogICAgICAgIDwhLS0gRGl2aXNpb24gMzAgLS0+CiAgICAgICAgPHJlY3QgeD0iNTEwIiB5PSIyNTQiIHdpZHRoPSIyMDYiIGhlaWdodD0iNzQiIGNsYXNzPSJuLW11dGVkIiByeD0iNCI+PC9yZWN0PgogICAgICAgIDx0ZXh0IHg9IjYyMSIgeT0iMjcyIiB0ZXh0LWFuY2hvcj0ibWlkZGxlIiBjbGFzcz0ibm9kZS1sYWJlbCI+RGl2aXNpb24gMzAgLS0gU2hpcGJ1aWxkaW5nCiAgICAgICAgICA8dHNwYW4geD0iNjIxIiBkeT0iMTQiIGNsYXNzPSJub2RlLWRlc2MiPiZhbXA7IHBsZWFzdXJlIGJvYXRzICgzMDExLCAzMDEyKTwvdHNwYW4+CiAgICAgICAgICA8dHNwYW4geD0iNjIxIiBkeT0iMTMiIGNsYXNzPSJub2RlLXRhZyIgZmlsbD0idmFyKC0tc2xhdGUtc3Ryb2tlKSI+T2NlYW4tcmVsYXRlZCAoVEctMy4zKTs8L3RzcGFuPgogICAgICAgICAgPHRzcGFuIHg9IjYyMSIgZHk9IjEyIiBjbGFzcz0ibm9kZS10YWciIGZpbGw9InZhcigtLXNsYXRlLXN0cm9rZSkiPnJlY29yZCBpbiBnZW5lcmFsIGluZHVzdHJ5IGEvYzwvdHNwYW4+CiAgICAgICAgPC90ZXh0PgoKICAgICAgICA8IS0tIFRyZWF0bWVudCBub3RlIC0tPgogICAgICAgIDxyZWN0IHg9IjUxMCIgeT0iMzMwIiB3aWR0aD0iMjA2IiBoZWlnaHQ9IjUwIiBjbGFzcz0ibm90ZS1zdHJpcCIgcng9IjQiPjwvcmVjdD4KICAgICAgICA8dGV4dCB4PSI2MjEiIHk9IjM0OSIgdGV4dC1hbmNob3I9Im1pZGRsZSIgY2xhc3M9Im5vdGUtdGV4dCI+UmVjb3JkIHVuZGVyIGdlbmVyYWwgaW5kdXN0cnkKICAgICAgICAgIDx0c3BhbiB4PSI2MjEiIGR5PSIxMiIgY2xhc3M9Im5vdGUtdGV4dCI+YWNjb3VudHM7IGluY2x1ZGUgSDUyMjkgb25seTwvdHNwYW4+CiAgICAgICAgICA8dHNwYW4geD0iNjIxIiBkeT0iMTIiIGNsYXNzPSJub3RlLXRleHQiPndoZXJlIG1hdGVyaWFsLjwvdHNwYW4+CiAgICAgICAgPC90ZXh0PgoKICAgICAgICA8IS0tID09PT09PT09PT09PT09PT09PT09PT09PT09PT09PT09PT09PT09PT09PT09PT09PT09PT09PT09PT09PQogICAgICAgICAgICAgTEVHRU5ECiAgICAgICAgICAgICA9PT09PT09PT09PT09PT09PT09PT09PT09PT09PT09PT09PT09PT09PT09PT09PT09PT09PT09PT09PT0gLS0+CiAgICAgICAgPHJlY3QgeD0iMjIiIHk9IjQwMiIgd2lkdGg9IjcxNCIgaGVpZ2h0PSI3OCIgY2xhc3M9ImxhbmUiIHJ4PSI0Ij48L3JlY3Q+CiAgICAgICAgPHRleHQgeD0iMzgiIHk9IjQyMSIgY2xhc3M9Imdyb3VwLWxhYmVsIiBmb250LXdlaWdodD0iNjAwIj5MZWdlbmQ8L3RleHQ+CgogICAgICAgIDxyZWN0IHg9IjM4IiB5PSI0MzAiIHdpZHRoPSIxNCIgaGVpZ2h0PSIxMiIgY2xhc3M9Im4tYW5jaG9yIiByeD0iMiI+PC9yZWN0PgogICAgICAgIDx0ZXh0IHg9IjU4IiB5PSI0NDAiIGNsYXNzPSJsZWdlbmQtbGFiZWwiPkZ1bGwgaW5jbHVzaW9uIChvY2VhbiByYXRpbyA9IDEuMCk8L3RleHQ+CgogICAgICAgIDxyZWN0IHg9IjI5MCIgeT0iNDMwIiB3aWR0aD0iMTQiIGhlaWdodD0iMTIiIGNsYXNzPSJuLWRlY2lzaW9uIiByeD0iMiI+PC9yZWN0PgogICAgICAgIDx0ZXh0IHg9IjMxMCIgeT0iNDQwIiBjbGFzcz0ibGVnZW5kLWxhYmVsIj5BcHBvcnRpb25lZCAob2NlYW4gcmF0aW8gJmx0OyAxLjApPC90ZXh0PgoKICAgICAgICA8cmVjdCB4PSI1MzgiIHk9IjQzMCIgd2lkdGg9IjE0IiBoZWlnaHQ9IjEyIiBjbGFzcz0ibi1tdXRlZCIgcng9IjIiPjwvcmVjdD4KICAgICAgICA8dGV4dCB4PSI1NTgiIHk9IjQ0MCIgY2xhc3M9ImxlZ2VuZC1sYWJlbCI+RXhjbHVkZWQgZnJvbSAvIHN1cHBsZW1lbnRhcnkgdG8gYS9jPC90ZXh0PgoKICAgICAgICA8dGV4dCB4PSIzOCIgeT0iNDYyIiBjbGFzcz0ibGVnZW5kLWxhYmVsIj48dHNwYW4gY2xhc3M9Im5vZGUtdGFnIiBmaWxsPSJ2YXIoLS1pbmspIj5PY2VhbiByYXRpbzwvdHNwYW4+ID0gc2hhcmUgb2YgYW4gSVNJQyBjbGFzcyYjMzk7cyBvdXRwdXQgYXR0cmlidXRhYmxlIHRvIG1hcml0aW1lIGFjdGl2aXR5IChURy02LjEwIMKnMy42KTsKICAgICAgICAgIDx0c3BhbiB4PSIzOCIgZHk9IjEzIiBjbGFzcz0ibGVnZW5kLWxhYmVsIj5jbGFzc2VzIHdpdGggYSBwYXJ0aWFsIHNoYXJlIGFyZSBpbmNsdWRlZCBvbmx5IGZvciB0aGF0IHNoYXJlLjwvdHNwYW4+CiAgICAgICAgPC90ZXh0PgoKICAgICAgPC9zdmc+"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6.10.1</w:t>
            </w:r>
            <w:r>
              <w:rPr>
                <w:lang w:val="en"/>
              </w:rPr>
              <w:t xml:space="preserve"> </w:t>
            </w:r>
            <w:r>
              <w:rPr>
                <w:lang w:val="en"/>
              </w:rPr>
              <w:t xml:space="preserve">Maritime-transport ISIC classes placed by ocean-ratio treatment: wholly maritime, partly apportioned, or excluded to general industry accounts. H502 predominant-area rule and 0.70 cargo-handling ratio are illustrative; document country ratios in metadata.</w:t>
            </w:r>
            <w:r>
              <w:rPr>
                <w:lang w:val="en"/>
              </w:rPr>
              <w:t xml:space="preserve"> </w:t>
            </w:r>
            <w:r>
              <w:rPr>
                <w:lang w:val="en"/>
              </w:rPr>
              <w:t xml:space="preserve">Source:</w:t>
            </w:r>
            <w:r>
              <w:rPr>
                <w:lang w:val="en"/>
              </w:rPr>
              <w:t xml:space="preserve"> </w:t>
            </w:r>
            <w:r>
              <w:rPr>
                <w:lang w:val="en"/>
              </w:rPr>
              <w:t xml:space="preserve">TG-6.10 §3.1.1, §3.6 (ocean-ratio apportionment) and §3.7 (worked 0.70 cargo-handling example); ISIC Rev.4 Section H, Division 50, and Classes 5222/5224/5229. Shipbuilding scope per TG-3.3 (ISIC 3011, ocean-related/direct).</w:t>
            </w:r>
          </w:p>
        </w:tc>
      </w:tr>
    </w:tbl>
    <w:p>
      <w:r>
        <w:pict>
          <v:rect style="width:0;height:1.5pt" o:hralign="center" o:hrstd="t" o:hr="t"/>
        </w:pict>
      </w:r>
    </w:p>
    <w:bookmarkStart w:id="141"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41"/>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p>
      <w:pPr>
        <w:pStyle w:val="BodyText"/>
      </w:pPr>
      <w:r>
        <w:rPr>
          <w:lang w:val="en"/>
        </w:rPr>
        <w:t xml:space="preserve">¶3</w:t>
      </w:r>
      <w:r>
        <w:rPr>
          <w:lang w:val="en"/>
        </w:rPr>
        <w:t xml:space="preserve"> </w:t>
      </w:r>
      <w:r>
        <w:rPr>
          <w:bCs/>
          <w:b/>
          <w:lang w:val="en"/>
        </w:rPr>
        <w:t xml:space="preserve">Contributing frameworks and sources:</w:t>
      </w:r>
    </w:p>
    <w:p>
      <w:pPr>
        <w:pStyle w:val="BodyText"/>
      </w:pPr>
      <w:r>
        <w:rPr>
          <w:lang w:val="en"/>
        </w:rPr>
        <w:t xml:space="preserve">¶4</w:t>
      </w:r>
      <w:r>
        <w:rPr>
          <w:lang w:val="en"/>
        </w:rPr>
        <w:t xml:space="preserve"> </w:t>
      </w:r>
      <w:r>
        <w:rPr>
          <w:lang w:val="en"/>
        </w:rPr>
        <w:t xml:space="preserve">This Circular draws upon:</w:t>
      </w:r>
    </w:p>
    <w:p>
      <w:pPr>
        <w:numPr>
          <w:ilvl w:val="0"/>
          <w:numId w:val="1026"/>
        </w:numPr>
        <w:pStyle w:val="Compact"/>
      </w:pPr>
      <w:r>
        <w:rPr>
          <w:lang w:val="en"/>
        </w:rPr>
        <w:t xml:space="preserve">¶5</w:t>
      </w:r>
      <w:r>
        <w:rPr>
          <w:lang w:val="en"/>
        </w:rPr>
        <w:t xml:space="preserve"> </w:t>
      </w:r>
      <w:r>
        <w:rPr>
          <w:iCs/>
          <w:i/>
          <w:lang w:val="en"/>
        </w:rPr>
        <w:t xml:space="preserve">SEEA Central Framework</w:t>
      </w:r>
      <w:r>
        <w:rPr>
          <w:lang w:val="en"/>
        </w:rPr>
        <w:t xml:space="preserve"> </w:t>
      </w:r>
      <w:r>
        <w:rPr>
          <w:lang w:val="en"/>
        </w:rPr>
        <w:t xml:space="preserve">(UN et al., 2012)</w:t>
      </w:r>
    </w:p>
    <w:p>
      <w:pPr>
        <w:numPr>
          <w:ilvl w:val="0"/>
          <w:numId w:val="1026"/>
        </w:numPr>
        <w:pStyle w:val="Compact"/>
      </w:pPr>
      <w:r>
        <w:rPr>
          <w:lang w:val="en"/>
        </w:rPr>
        <w:t xml:space="preserve">¶6</w:t>
      </w:r>
      <w:r>
        <w:rPr>
          <w:lang w:val="en"/>
        </w:rPr>
        <w:t xml:space="preserve"> </w:t>
      </w:r>
      <w:r>
        <w:rPr>
          <w:lang w:val="en"/>
        </w:rPr>
        <w:t xml:space="preserve">ISIC Revision 4 (UN, 2008)</w:t>
      </w:r>
    </w:p>
    <w:p>
      <w:pPr>
        <w:numPr>
          <w:ilvl w:val="0"/>
          <w:numId w:val="1026"/>
        </w:numPr>
        <w:pStyle w:val="Compact"/>
      </w:pPr>
      <w:r>
        <w:rPr>
          <w:lang w:val="en"/>
        </w:rPr>
        <w:t xml:space="preserve">¶7</w:t>
      </w:r>
      <w:r>
        <w:rPr>
          <w:lang w:val="en"/>
        </w:rPr>
        <w:t xml:space="preserve"> </w:t>
      </w:r>
      <w:r>
        <w:rPr>
          <w:iCs/>
          <w:i/>
          <w:lang w:val="en"/>
        </w:rPr>
        <w:t xml:space="preserve">SNA 2025</w:t>
      </w:r>
      <w:r>
        <w:rPr>
          <w:lang w:val="en"/>
        </w:rPr>
        <w:t xml:space="preserve"> </w:t>
      </w:r>
      <w:r>
        <w:rPr>
          <w:lang w:val="en"/>
        </w:rPr>
        <w:t xml:space="preserve">(UN et al., 2025)</w:t>
      </w:r>
    </w:p>
    <w:p>
      <w:pPr>
        <w:numPr>
          <w:ilvl w:val="0"/>
          <w:numId w:val="1026"/>
        </w:numPr>
        <w:pStyle w:val="Compact"/>
      </w:pPr>
      <w:r>
        <w:rPr>
          <w:lang w:val="en"/>
        </w:rPr>
        <w:t xml:space="preserve">¶8</w:t>
      </w:r>
      <w:r>
        <w:rPr>
          <w:lang w:val="en"/>
        </w:rPr>
        <w:t xml:space="preserve"> </w:t>
      </w:r>
      <w:r>
        <w:rPr>
          <w:lang w:val="en"/>
        </w:rPr>
        <w:t xml:space="preserve">MARPOL Convention (IMO)</w:t>
      </w:r>
    </w:p>
    <w:p>
      <w:pPr>
        <w:numPr>
          <w:ilvl w:val="0"/>
          <w:numId w:val="1026"/>
        </w:numPr>
        <w:pStyle w:val="Compact"/>
      </w:pPr>
      <w:r>
        <w:rPr>
          <w:lang w:val="en"/>
        </w:rPr>
        <w:t xml:space="preserve">¶9</w:t>
      </w:r>
      <w:r>
        <w:rPr>
          <w:lang w:val="en"/>
        </w:rPr>
        <w:t xml:space="preserve"> </w:t>
      </w:r>
      <w:r>
        <w:rPr>
          <w:lang w:val="en"/>
        </w:rPr>
        <w:t xml:space="preserve">Ballast Water Management Convention (IMO)</w:t>
      </w:r>
    </w:p>
    <w:p>
      <w:pPr>
        <w:numPr>
          <w:ilvl w:val="0"/>
          <w:numId w:val="1026"/>
        </w:numPr>
        <w:pStyle w:val="Compact"/>
      </w:pPr>
      <w:r>
        <w:rPr>
          <w:lang w:val="en"/>
        </w:rPr>
        <w:t xml:space="preserve">¶10</w:t>
      </w:r>
      <w:r>
        <w:rPr>
          <w:lang w:val="en"/>
        </w:rPr>
        <w:t xml:space="preserve"> </w:t>
      </w:r>
      <w:r>
        <w:rPr>
          <w:lang w:val="en"/>
        </w:rPr>
        <w:t xml:space="preserve">Fourth IMO GHG Study (IMO, 2020)</w:t>
      </w:r>
    </w:p>
    <w:p>
      <w:pPr>
        <w:numPr>
          <w:ilvl w:val="0"/>
          <w:numId w:val="1026"/>
        </w:numPr>
        <w:pStyle w:val="Compact"/>
      </w:pPr>
      <w:r>
        <w:rPr>
          <w:lang w:val="en"/>
        </w:rPr>
        <w:t xml:space="preserve">¶11</w:t>
      </w:r>
      <w:r>
        <w:rPr>
          <w:lang w:val="en"/>
        </w:rPr>
        <w:t xml:space="preserve"> </w:t>
      </w:r>
      <w:r>
        <w:rPr>
          <w:lang w:val="en"/>
        </w:rPr>
        <w:t xml:space="preserve">UNCTAD</w:t>
      </w:r>
      <w:r>
        <w:rPr>
          <w:lang w:val="en"/>
        </w:rPr>
        <w:t xml:space="preserve"> </w:t>
      </w:r>
      <w:r>
        <w:rPr>
          <w:iCs/>
          <w:i/>
          <w:lang w:val="en"/>
        </w:rPr>
        <w:t xml:space="preserve">Review of Maritime Transport</w:t>
      </w:r>
    </w:p>
    <w:p>
      <w:pPr>
        <w:numPr>
          <w:ilvl w:val="0"/>
          <w:numId w:val="1026"/>
        </w:numPr>
        <w:pStyle w:val="Compact"/>
      </w:pPr>
      <w:r>
        <w:rPr>
          <w:lang w:val="en"/>
        </w:rPr>
        <w:t xml:space="preserve">¶12</w:t>
      </w:r>
      <w:r>
        <w:rPr>
          <w:lang w:val="en"/>
        </w:rPr>
        <w:t xml:space="preserve"> </w:t>
      </w:r>
      <w:r>
        <w:rPr>
          <w:lang w:val="en"/>
        </w:rPr>
        <w:t xml:space="preserve">IPCC Guidelines for National Greenhouse Gas Inventories</w:t>
      </w:r>
    </w:p>
    <w:p>
      <w:pPr>
        <w:numPr>
          <w:ilvl w:val="0"/>
          <w:numId w:val="1026"/>
        </w:numPr>
        <w:pStyle w:val="Compact"/>
      </w:pPr>
      <w:r>
        <w:rPr>
          <w:lang w:val="en"/>
        </w:rPr>
        <w:t xml:space="preserve">¶13</w:t>
      </w:r>
      <w:r>
        <w:rPr>
          <w:lang w:val="en"/>
        </w:rPr>
        <w:t xml:space="preserve"> </w:t>
      </w:r>
      <w:r>
        <w:rPr>
          <w:lang w:val="en"/>
        </w:rPr>
        <w:t xml:space="preserve">IPCC AR6 WGI Chapter 7 Supplementary Material (GWP100 values)</w:t>
      </w:r>
    </w:p>
    <w:p>
      <w:pPr>
        <w:numPr>
          <w:ilvl w:val="0"/>
          <w:numId w:val="1026"/>
        </w:numPr>
        <w:pStyle w:val="Compact"/>
      </w:pPr>
      <w:r>
        <w:rPr>
          <w:lang w:val="en"/>
        </w:rPr>
        <w:t xml:space="preserve">¶14</w:t>
      </w:r>
      <w:r>
        <w:rPr>
          <w:lang w:val="en"/>
        </w:rPr>
        <w:t xml:space="preserve"> </w:t>
      </w:r>
      <w:r>
        <w:rPr>
          <w:lang w:val="en"/>
        </w:rPr>
        <w:t xml:space="preserve">BIMCO/ICS</w:t>
      </w:r>
      <w:r>
        <w:rPr>
          <w:lang w:val="en"/>
        </w:rPr>
        <w:t xml:space="preserve"> </w:t>
      </w:r>
      <w:r>
        <w:rPr>
          <w:iCs/>
          <w:i/>
          <w:lang w:val="en"/>
        </w:rPr>
        <w:t xml:space="preserve">Seafarer Workforce Report</w:t>
      </w:r>
      <w:r>
        <w:rPr>
          <w:lang w:val="en"/>
        </w:rPr>
        <w:t xml:space="preserve"> </w:t>
      </w:r>
      <w:r>
        <w:rPr>
          <w:lang w:val="en"/>
        </w:rPr>
        <w:t xml:space="preserve">(2021)</w:t>
      </w:r>
    </w:p>
    <w:p>
      <w:pPr>
        <w:numPr>
          <w:ilvl w:val="0"/>
          <w:numId w:val="1026"/>
        </w:numPr>
        <w:pStyle w:val="Compact"/>
      </w:pPr>
      <w:r>
        <w:rPr>
          <w:lang w:val="en"/>
        </w:rPr>
        <w:t xml:space="preserve">¶15</w:t>
      </w:r>
      <w:r>
        <w:rPr>
          <w:lang w:val="en"/>
        </w:rPr>
        <w:t xml:space="preserve"> </w:t>
      </w:r>
      <w:r>
        <w:rPr>
          <w:lang w:val="en"/>
        </w:rPr>
        <w:t xml:space="preserve">EMEP/EEA</w:t>
      </w:r>
      <w:r>
        <w:rPr>
          <w:lang w:val="en"/>
        </w:rPr>
        <w:t xml:space="preserve"> </w:t>
      </w:r>
      <w:r>
        <w:rPr>
          <w:iCs/>
          <w:i/>
          <w:lang w:val="en"/>
        </w:rPr>
        <w:t xml:space="preserve">Air Pollutant Emission Inventory Guidebook</w:t>
      </w:r>
      <w:r>
        <w:rPr>
          <w:lang w:val="en"/>
        </w:rPr>
        <w:t xml:space="preserve"> </w:t>
      </w:r>
      <w:r>
        <w:rPr>
          <w:lang w:val="en"/>
        </w:rPr>
        <w:t xml:space="preserve">(2019)</w:t>
      </w:r>
    </w:p>
    <w:p>
      <w:pPr>
        <w:numPr>
          <w:ilvl w:val="0"/>
          <w:numId w:val="1026"/>
        </w:numPr>
        <w:pStyle w:val="Compact"/>
      </w:pPr>
      <w:r>
        <w:rPr>
          <w:lang w:val="en"/>
        </w:rPr>
        <w:t xml:space="preserve">¶16</w:t>
      </w:r>
      <w:r>
        <w:rPr>
          <w:lang w:val="en"/>
        </w:rPr>
        <w:t xml:space="preserve"> </w:t>
      </w:r>
      <w:r>
        <w:rPr>
          <w:lang w:val="en"/>
        </w:rPr>
        <w:t xml:space="preserve">OECD</w:t>
      </w:r>
      <w:r>
        <w:rPr>
          <w:lang w:val="en"/>
        </w:rPr>
        <w:t xml:space="preserve"> </w:t>
      </w:r>
      <w:r>
        <w:rPr>
          <w:iCs/>
          <w:i/>
          <w:lang w:val="en"/>
        </w:rPr>
        <w:t xml:space="preserve">Measuring Capital: OECD Manual</w:t>
      </w:r>
      <w:r>
        <w:rPr>
          <w:lang w:val="en"/>
        </w:rPr>
        <w:t xml:space="preserve"> </w:t>
      </w:r>
      <w:r>
        <w:rPr>
          <w:lang w:val="en"/>
        </w:rPr>
        <w:t xml:space="preserve">(2009)</w:t>
      </w:r>
    </w:p>
    <w:p>
      <w:r>
        <w:pict>
          <v:rect style="width:0;height:1.5pt" o:hralign="center" o:hrstd="t" o:hr="t"/>
        </w:pict>
      </w:r>
    </w:p>
    <w:bookmarkStart w:id="144"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44"/>
    <w:p>
      <w:pPr>
        <w:pStyle w:val="BodyText"/>
      </w:pPr>
      <w:bookmarkStart w:id="145" w:name="footnotes-label"/>
      <w:r>
        <w:rPr>
          <w:lang w:val="en"/>
        </w:rPr>
        <w:t xml:space="preserve">Footnotes</w:t>
      </w:r>
      <w:bookmarkEnd w:id="145"/>
    </w:p>
    <w:p>
      <w:pPr>
        <w:numPr>
          <w:ilvl w:val="0"/>
          <w:numId w:val="1027"/>
        </w:numPr>
      </w:pPr>
      <w:bookmarkStart w:id="146" w:name="user-content-fn-1"/>
      <w:r>
        <w:rPr>
          <w:lang w:val="en"/>
        </w:rPr>
        <w:t xml:space="preserve">¶1</w:t>
      </w:r>
      <w:r>
        <w:rPr>
          <w:lang w:val="en"/>
        </w:rPr>
        <w:t xml:space="preserve"> </w:t>
      </w:r>
      <w:bookmarkEnd w:id="146"/>
    </w:p>
    <w:p>
      <w:pPr>
        <w:numPr>
          <w:ilvl w:val="0"/>
          <w:numId w:val="1000"/>
        </w:numPr>
      </w:pPr>
      <w:r>
        <w:rPr>
          <w:lang w:val="en"/>
        </w:rPr>
        <w:t xml:space="preserve">UNCTAD. (2023).</w:t>
      </w:r>
      <w:r>
        <w:rPr>
          <w:lang w:val="en"/>
        </w:rPr>
        <w:t xml:space="preserve"> </w:t>
      </w:r>
      <w:r>
        <w:rPr>
          <w:iCs/>
          <w:i/>
          <w:lang w:val="en"/>
        </w:rPr>
        <w:t xml:space="preserve">Review of Maritime Transport 2023</w:t>
      </w:r>
      <w:r>
        <w:rPr>
          <w:lang w:val="en"/>
        </w:rPr>
        <w:t xml:space="preserve">. United Nations Conference on Trade and Development. Geneva: United Nations. Estimates maritime transport at over 80% of global merchandise trade by volume.</w:t>
      </w:r>
      <w:r>
        <w:rPr>
          <w:lang w:val="en"/>
        </w:rPr>
        <w:t xml:space="preserve"> </w:t>
      </w:r>
      <w:hyperlink r:id="rId147">
        <w:r>
          <w:rPr>
            <w:rStyle w:val="Hyperlink"/>
            <w:lang w:val="en"/>
          </w:rPr>
          <w:t xml:space="preserve">unctad.org/publication/review-maritime-transport-2023</w:t>
        </w:r>
      </w:hyperlink>
      <w:r>
        <w:rPr>
          <w:lang w:val="en"/>
        </w:rPr>
        <w:t xml:space="preserve"> </w:t>
      </w:r>
      <w:hyperlink w:anchor="user-content-fnref-1">
        <w:r>
          <w:rPr>
            <w:rStyle w:val="Hyperlink"/>
            <w:lang w:val="en"/>
          </w:rPr>
          <w:t xml:space="preserve">↩</w:t>
        </w:r>
      </w:hyperlink>
    </w:p>
    <w:p>
      <w:pPr>
        <w:numPr>
          <w:ilvl w:val="0"/>
          <w:numId w:val="1027"/>
        </w:numPr>
      </w:pPr>
      <w:bookmarkStart w:id="148" w:name="user-content-fn-2"/>
      <w:r>
        <w:rPr>
          <w:lang w:val="en"/>
        </w:rPr>
        <w:t xml:space="preserve">¶2</w:t>
      </w:r>
      <w:r>
        <w:rPr>
          <w:lang w:val="en"/>
        </w:rPr>
        <w:t xml:space="preserve"> </w:t>
      </w:r>
      <w:bookmarkEnd w:id="148"/>
    </w:p>
    <w:p>
      <w:pPr>
        <w:numPr>
          <w:ilvl w:val="0"/>
          <w:numId w:val="1000"/>
        </w:numPr>
      </w:pPr>
      <w:r>
        <w:rPr>
          <w:lang w:val="en"/>
        </w:rPr>
        <w:t xml:space="preserve">ISIC Rev.4, Division 50 “Water transport” and Class 5222 “Service activities incidental to water transportation.”</w:t>
      </w:r>
      <w:r>
        <w:rPr>
          <w:lang w:val="en"/>
        </w:rPr>
        <w:t xml:space="preserve"> </w:t>
      </w:r>
      <w:hyperlink w:anchor="user-content-fnref-2">
        <w:r>
          <w:rPr>
            <w:rStyle w:val="Hyperlink"/>
            <w:lang w:val="en"/>
          </w:rPr>
          <w:t xml:space="preserve">↩</w:t>
        </w:r>
      </w:hyperlink>
    </w:p>
    <w:p>
      <w:pPr>
        <w:numPr>
          <w:ilvl w:val="0"/>
          <w:numId w:val="1027"/>
        </w:numPr>
      </w:pPr>
      <w:bookmarkStart w:id="149" w:name="user-content-fn-3"/>
      <w:r>
        <w:rPr>
          <w:lang w:val="en"/>
        </w:rPr>
        <w:t xml:space="preserve">¶3</w:t>
      </w:r>
      <w:r>
        <w:rPr>
          <w:lang w:val="en"/>
        </w:rPr>
        <w:t xml:space="preserve"> </w:t>
      </w:r>
      <w:bookmarkEnd w:id="149"/>
    </w:p>
    <w:p>
      <w:pPr>
        <w:numPr>
          <w:ilvl w:val="0"/>
          <w:numId w:val="1000"/>
        </w:numPr>
      </w:pPr>
      <w:r>
        <w:rPr>
          <w:lang w:val="en"/>
        </w:rPr>
        <w:t xml:space="preserve">SEEA Central Framework (2012), Chapter 3, Section 3.6 on emission accounts (air emissions covered under sub-section 3.6 of Chapter 3 physical flow accounts; verify exact sub-paragraph range against the SEEA CF PDF).</w:t>
      </w:r>
      <w:r>
        <w:rPr>
          <w:lang w:val="en"/>
        </w:rPr>
        <w:t xml:space="preserve"> </w:t>
      </w:r>
      <w:hyperlink w:anchor="user-content-fnref-3">
        <w:r>
          <w:rPr>
            <w:rStyle w:val="Hyperlink"/>
            <w:lang w:val="en"/>
          </w:rPr>
          <w:t xml:space="preserve">↩</w:t>
        </w:r>
      </w:hyperlink>
    </w:p>
    <w:p>
      <w:pPr>
        <w:numPr>
          <w:ilvl w:val="0"/>
          <w:numId w:val="1027"/>
        </w:numPr>
      </w:pPr>
      <w:bookmarkStart w:id="150" w:name="user-content-fn-4"/>
      <w:r>
        <w:rPr>
          <w:lang w:val="en"/>
        </w:rPr>
        <w:t xml:space="preserve">¶4</w:t>
      </w:r>
      <w:r>
        <w:rPr>
          <w:lang w:val="en"/>
        </w:rPr>
        <w:t xml:space="preserve"> </w:t>
      </w:r>
      <w:bookmarkEnd w:id="150"/>
    </w:p>
    <w:p>
      <w:pPr>
        <w:numPr>
          <w:ilvl w:val="0"/>
          <w:numId w:val="1000"/>
        </w:numPr>
      </w:pPr>
      <w:r>
        <w:rPr>
          <w:lang w:val="en"/>
        </w:rPr>
        <w:t xml:space="preserve">SNA 2025, Chapter 6 on production accounts and value added measurement.</w:t>
      </w:r>
      <w:r>
        <w:rPr>
          <w:lang w:val="en"/>
        </w:rPr>
        <w:t xml:space="preserve"> </w:t>
      </w:r>
      <w:hyperlink w:anchor="user-content-fnref-4">
        <w:r>
          <w:rPr>
            <w:rStyle w:val="Hyperlink"/>
            <w:lang w:val="en"/>
          </w:rPr>
          <w:t xml:space="preserve">↩</w:t>
        </w:r>
      </w:hyperlink>
    </w:p>
    <w:p>
      <w:pPr>
        <w:numPr>
          <w:ilvl w:val="0"/>
          <w:numId w:val="1027"/>
        </w:numPr>
      </w:pPr>
      <w:bookmarkStart w:id="151" w:name="user-content-fn-5"/>
      <w:r>
        <w:rPr>
          <w:lang w:val="en"/>
        </w:rPr>
        <w:t xml:space="preserve">¶5</w:t>
      </w:r>
      <w:r>
        <w:rPr>
          <w:lang w:val="en"/>
        </w:rPr>
        <w:t xml:space="preserve"> </w:t>
      </w:r>
      <w:bookmarkEnd w:id="151"/>
    </w:p>
    <w:p>
      <w:pPr>
        <w:numPr>
          <w:ilvl w:val="0"/>
          <w:numId w:val="1000"/>
        </w:numPr>
      </w:pPr>
      <w:r>
        <w:rPr>
          <w:lang w:val="en"/>
        </w:rPr>
        <w:t xml:space="preserve">SEEA Central Framework, Chapter 4 on produced assets including infrastructure.</w:t>
      </w:r>
      <w:r>
        <w:rPr>
          <w:lang w:val="en"/>
        </w:rPr>
        <w:t xml:space="preserve"> </w:t>
      </w:r>
      <w:hyperlink w:anchor="user-content-fnref-5">
        <w:r>
          <w:rPr>
            <w:rStyle w:val="Hyperlink"/>
            <w:lang w:val="en"/>
          </w:rPr>
          <w:t xml:space="preserve">↩</w:t>
        </w:r>
      </w:hyperlink>
    </w:p>
    <w:p>
      <w:pPr>
        <w:numPr>
          <w:ilvl w:val="0"/>
          <w:numId w:val="1027"/>
        </w:numPr>
      </w:pPr>
      <w:bookmarkStart w:id="152" w:name="user-content-fn-6"/>
      <w:r>
        <w:rPr>
          <w:lang w:val="en"/>
        </w:rPr>
        <w:t xml:space="preserve">¶6</w:t>
      </w:r>
      <w:r>
        <w:rPr>
          <w:lang w:val="en"/>
        </w:rPr>
        <w:t xml:space="preserve"> </w:t>
      </w:r>
      <w:bookmarkEnd w:id="152"/>
    </w:p>
    <w:p>
      <w:pPr>
        <w:numPr>
          <w:ilvl w:val="0"/>
          <w:numId w:val="1000"/>
        </w:numPr>
      </w:pPr>
      <w:r>
        <w:rPr>
          <w:lang w:val="en"/>
        </w:rPr>
        <w:t xml:space="preserve">IMO guidelines on biofouling and ballast water management; UNCLOS Part XII on marine environment protection.</w:t>
      </w:r>
      <w:r>
        <w:rPr>
          <w:lang w:val="en"/>
        </w:rPr>
        <w:t xml:space="preserve"> </w:t>
      </w:r>
      <w:hyperlink w:anchor="user-content-fnref-6">
        <w:r>
          <w:rPr>
            <w:rStyle w:val="Hyperlink"/>
            <w:lang w:val="en"/>
          </w:rPr>
          <w:t xml:space="preserve">↩</w:t>
        </w:r>
      </w:hyperlink>
    </w:p>
    <w:p>
      <w:pPr>
        <w:numPr>
          <w:ilvl w:val="0"/>
          <w:numId w:val="1027"/>
        </w:numPr>
      </w:pPr>
      <w:bookmarkStart w:id="153" w:name="user-content-fn-7"/>
      <w:r>
        <w:rPr>
          <w:lang w:val="en"/>
        </w:rPr>
        <w:t xml:space="preserve">¶7</w:t>
      </w:r>
      <w:r>
        <w:rPr>
          <w:lang w:val="en"/>
        </w:rPr>
        <w:t xml:space="preserve"> </w:t>
      </w:r>
      <w:bookmarkEnd w:id="153"/>
    </w:p>
    <w:p>
      <w:pPr>
        <w:numPr>
          <w:ilvl w:val="0"/>
          <w:numId w:val="1000"/>
        </w:numPr>
      </w:pPr>
      <w:r>
        <w:rPr>
          <w:lang w:val="en"/>
        </w:rPr>
        <w:t xml:space="preserve">ISIC Rev.4, International Standard Industrial Classification of All Economic Activities, United Nations, 2008.</w:t>
      </w:r>
      <w:r>
        <w:rPr>
          <w:lang w:val="en"/>
        </w:rPr>
        <w:t xml:space="preserve"> </w:t>
      </w:r>
      <w:hyperlink w:anchor="user-content-fnref-7">
        <w:r>
          <w:rPr>
            <w:rStyle w:val="Hyperlink"/>
            <w:lang w:val="en"/>
          </w:rPr>
          <w:t xml:space="preserve">↩</w:t>
        </w:r>
      </w:hyperlink>
    </w:p>
    <w:p>
      <w:pPr>
        <w:numPr>
          <w:ilvl w:val="0"/>
          <w:numId w:val="1027"/>
        </w:numPr>
      </w:pPr>
      <w:bookmarkStart w:id="154" w:name="user-content-fn-8"/>
      <w:r>
        <w:rPr>
          <w:lang w:val="en"/>
        </w:rPr>
        <w:t xml:space="preserve">¶8</w:t>
      </w:r>
      <w:r>
        <w:rPr>
          <w:lang w:val="en"/>
        </w:rPr>
        <w:t xml:space="preserve"> </w:t>
      </w:r>
      <w:bookmarkEnd w:id="154"/>
    </w:p>
    <w:p>
      <w:pPr>
        <w:numPr>
          <w:ilvl w:val="0"/>
          <w:numId w:val="1000"/>
        </w:numPr>
      </w:pPr>
      <w:r>
        <w:rPr>
          <w:lang w:val="en"/>
        </w:rPr>
        <w:t xml:space="preserve">ISIC Rev.4, Division 50 scope note: “This division includes the transport of passengers or freight over water, whether scheduled or not. Also included are the operation of towing or pushing boats, excursion, cruise or sightseeing boats, ferries, water taxis etc.”</w:t>
      </w:r>
      <w:r>
        <w:rPr>
          <w:lang w:val="en"/>
        </w:rPr>
        <w:t xml:space="preserve"> </w:t>
      </w:r>
      <w:hyperlink w:anchor="user-content-fnref-8">
        <w:r>
          <w:rPr>
            <w:rStyle w:val="Hyperlink"/>
            <w:lang w:val="en"/>
          </w:rPr>
          <w:t xml:space="preserve">↩</w:t>
        </w:r>
      </w:hyperlink>
    </w:p>
    <w:p>
      <w:pPr>
        <w:numPr>
          <w:ilvl w:val="0"/>
          <w:numId w:val="1027"/>
        </w:numPr>
      </w:pPr>
      <w:bookmarkStart w:id="155" w:name="user-content-fn-9"/>
      <w:r>
        <w:rPr>
          <w:lang w:val="en"/>
        </w:rPr>
        <w:t xml:space="preserve">¶9</w:t>
      </w:r>
      <w:r>
        <w:rPr>
          <w:lang w:val="en"/>
        </w:rPr>
        <w:t xml:space="preserve"> </w:t>
      </w:r>
      <w:bookmarkEnd w:id="155"/>
    </w:p>
    <w:p>
      <w:pPr>
        <w:numPr>
          <w:ilvl w:val="0"/>
          <w:numId w:val="1000"/>
        </w:numPr>
      </w:pPr>
      <w:r>
        <w:rPr>
          <w:lang w:val="en"/>
        </w:rPr>
        <w:t xml:space="preserve">ISIC Rev.4, Part Three, Section H (Transportation and Storage), Division 50 (Water Transport), pages 194—196.</w:t>
      </w:r>
      <w:r>
        <w:rPr>
          <w:lang w:val="en"/>
        </w:rPr>
        <w:t xml:space="preserve"> </w:t>
      </w:r>
      <w:hyperlink w:anchor="user-content-fnref-9">
        <w:r>
          <w:rPr>
            <w:rStyle w:val="Hyperlink"/>
            <w:lang w:val="en"/>
          </w:rPr>
          <w:t xml:space="preserve">↩</w:t>
        </w:r>
      </w:hyperlink>
    </w:p>
    <w:p>
      <w:pPr>
        <w:numPr>
          <w:ilvl w:val="0"/>
          <w:numId w:val="1027"/>
        </w:numPr>
      </w:pPr>
      <w:bookmarkStart w:id="156" w:name="user-content-fn-9a"/>
      <w:r>
        <w:rPr>
          <w:lang w:val="en"/>
        </w:rPr>
        <w:t xml:space="preserve">¶10</w:t>
      </w:r>
      <w:r>
        <w:rPr>
          <w:lang w:val="en"/>
        </w:rPr>
        <w:t xml:space="preserve"> </w:t>
      </w:r>
      <w:bookmarkEnd w:id="156"/>
    </w:p>
    <w:p>
      <w:pPr>
        <w:numPr>
          <w:ilvl w:val="0"/>
          <w:numId w:val="1000"/>
        </w:numPr>
      </w:pPr>
      <w:r>
        <w:rPr>
          <w:lang w:val="en"/>
        </w:rPr>
        <w:t xml:space="preserve">IPCC. (2006).</w:t>
      </w:r>
      <w:r>
        <w:rPr>
          <w:lang w:val="en"/>
        </w:rPr>
        <w:t xml:space="preserve"> </w:t>
      </w:r>
      <w:r>
        <w:rPr>
          <w:iCs/>
          <w:i/>
          <w:lang w:val="en"/>
        </w:rPr>
        <w:t xml:space="preserve">2006 IPCC Guidelines for National Greenhouse Gas Inventories</w:t>
      </w:r>
      <w:r>
        <w:rPr>
          <w:lang w:val="en"/>
        </w:rPr>
        <w:t xml:space="preserve">. Volume 2 (Energy), Chapter 3 (Mobile Combustion), Section 3.4.3 on water-borne navigation (inland navigation emission factors); see also the NGGIP background paper on water-borne navigation emissions. National Greenhouse Gas Inventories Programme, IGES.</w:t>
      </w:r>
      <w:r>
        <w:rPr>
          <w:lang w:val="en"/>
        </w:rPr>
        <w:t xml:space="preserve"> </w:t>
      </w:r>
      <w:hyperlink w:anchor="user-content-fnref-9a">
        <w:r>
          <w:rPr>
            <w:rStyle w:val="Hyperlink"/>
            <w:lang w:val="en"/>
          </w:rPr>
          <w:t xml:space="preserve">↩</w:t>
        </w:r>
      </w:hyperlink>
    </w:p>
    <w:p>
      <w:pPr>
        <w:numPr>
          <w:ilvl w:val="0"/>
          <w:numId w:val="1027"/>
        </w:numPr>
      </w:pPr>
      <w:bookmarkStart w:id="157" w:name="user-content-fn-10"/>
      <w:r>
        <w:rPr>
          <w:lang w:val="en"/>
        </w:rPr>
        <w:t xml:space="preserve">¶11</w:t>
      </w:r>
      <w:r>
        <w:rPr>
          <w:lang w:val="en"/>
        </w:rPr>
        <w:t xml:space="preserve"> </w:t>
      </w:r>
      <w:bookmarkEnd w:id="157"/>
    </w:p>
    <w:p>
      <w:pPr>
        <w:numPr>
          <w:ilvl w:val="0"/>
          <w:numId w:val="1000"/>
        </w:numPr>
      </w:pPr>
      <w:r>
        <w:rPr>
          <w:lang w:val="en"/>
        </w:rPr>
        <w:t xml:space="preserve">ISIC Rev.4, Class 5222 scope note: “activities related to water transport of passengers, animals or freight: operation of terminal facilities such as harbours and piers, operation of waterway locks etc., navigation, pilotage and berthing activities, lighterage, salvage activities, lighthouse activities.”</w:t>
      </w:r>
      <w:r>
        <w:rPr>
          <w:lang w:val="en"/>
        </w:rPr>
        <w:t xml:space="preserve"> </w:t>
      </w:r>
      <w:hyperlink w:anchor="user-content-fnref-10">
        <w:r>
          <w:rPr>
            <w:rStyle w:val="Hyperlink"/>
            <w:lang w:val="en"/>
          </w:rPr>
          <w:t xml:space="preserve">↩</w:t>
        </w:r>
      </w:hyperlink>
    </w:p>
    <w:p>
      <w:pPr>
        <w:numPr>
          <w:ilvl w:val="0"/>
          <w:numId w:val="1027"/>
        </w:numPr>
      </w:pPr>
      <w:bookmarkStart w:id="158" w:name="user-content-fn-11"/>
      <w:r>
        <w:rPr>
          <w:lang w:val="en"/>
        </w:rPr>
        <w:t xml:space="preserve">¶12</w:t>
      </w:r>
      <w:r>
        <w:rPr>
          <w:lang w:val="en"/>
        </w:rPr>
        <w:t xml:space="preserve"> </w:t>
      </w:r>
      <w:bookmarkEnd w:id="158"/>
    </w:p>
    <w:p>
      <w:pPr>
        <w:numPr>
          <w:ilvl w:val="0"/>
          <w:numId w:val="1000"/>
        </w:numPr>
      </w:pPr>
      <w:r>
        <w:rPr>
          <w:lang w:val="en"/>
        </w:rPr>
        <w:t xml:space="preserve">IMO vessel type classifications align with SOLAS and MARPOL conventions.</w:t>
      </w:r>
      <w:r>
        <w:rPr>
          <w:lang w:val="en"/>
        </w:rPr>
        <w:t xml:space="preserve"> </w:t>
      </w:r>
      <w:hyperlink w:anchor="user-content-fnref-11">
        <w:r>
          <w:rPr>
            <w:rStyle w:val="Hyperlink"/>
            <w:lang w:val="en"/>
          </w:rPr>
          <w:t xml:space="preserve">↩</w:t>
        </w:r>
      </w:hyperlink>
    </w:p>
    <w:p>
      <w:pPr>
        <w:numPr>
          <w:ilvl w:val="0"/>
          <w:numId w:val="1027"/>
        </w:numPr>
      </w:pPr>
      <w:bookmarkStart w:id="159" w:name="user-content-fn-12"/>
      <w:r>
        <w:rPr>
          <w:lang w:val="en"/>
        </w:rPr>
        <w:t xml:space="preserve">¶13</w:t>
      </w:r>
      <w:r>
        <w:rPr>
          <w:lang w:val="en"/>
        </w:rPr>
        <w:t xml:space="preserve"> </w:t>
      </w:r>
      <w:bookmarkEnd w:id="159"/>
    </w:p>
    <w:p>
      <w:pPr>
        <w:numPr>
          <w:ilvl w:val="0"/>
          <w:numId w:val="1000"/>
        </w:numPr>
      </w:pPr>
      <w:r>
        <w:rPr>
          <w:lang w:val="en"/>
        </w:rPr>
        <w:t xml:space="preserve">IMO. (2020).</w:t>
      </w:r>
      <w:r>
        <w:rPr>
          <w:lang w:val="en"/>
        </w:rPr>
        <w:t xml:space="preserve"> </w:t>
      </w:r>
      <w:r>
        <w:rPr>
          <w:iCs/>
          <w:i/>
          <w:lang w:val="en"/>
        </w:rPr>
        <w:t xml:space="preserve">Fourth IMO GHG Study</w:t>
      </w:r>
      <w:r>
        <w:rPr>
          <w:lang w:val="en"/>
        </w:rPr>
        <w:t xml:space="preserve">. International Maritime Organization. Provides emission factors by vessel type, size category, and operating mode.</w:t>
      </w:r>
      <w:r>
        <w:rPr>
          <w:lang w:val="en"/>
        </w:rPr>
        <w:t xml:space="preserve"> </w:t>
      </w:r>
      <w:hyperlink w:anchor="user-content-fnref-12">
        <w:r>
          <w:rPr>
            <w:rStyle w:val="Hyperlink"/>
            <w:lang w:val="en"/>
          </w:rPr>
          <w:t xml:space="preserve">↩</w:t>
        </w:r>
      </w:hyperlink>
    </w:p>
    <w:p>
      <w:pPr>
        <w:numPr>
          <w:ilvl w:val="0"/>
          <w:numId w:val="1027"/>
        </w:numPr>
      </w:pPr>
      <w:bookmarkStart w:id="160" w:name="user-content-fn-13"/>
      <w:r>
        <w:rPr>
          <w:lang w:val="en"/>
        </w:rPr>
        <w:t xml:space="preserve">¶14</w:t>
      </w:r>
      <w:r>
        <w:rPr>
          <w:lang w:val="en"/>
        </w:rPr>
        <w:t xml:space="preserve"> </w:t>
      </w:r>
      <w:bookmarkEnd w:id="160"/>
    </w:p>
    <w:p>
      <w:pPr>
        <w:numPr>
          <w:ilvl w:val="0"/>
          <w:numId w:val="1000"/>
        </w:numPr>
      </w:pPr>
      <w:r>
        <w:rPr>
          <w:lang w:val="en"/>
        </w:rPr>
        <w:t xml:space="preserve">CIF (Cost, Insurance, Freight) and FOB (Free on Board) are standard international trade valuation bases per BPM6.</w:t>
      </w:r>
      <w:r>
        <w:rPr>
          <w:lang w:val="en"/>
        </w:rPr>
        <w:t xml:space="preserve"> </w:t>
      </w:r>
      <w:hyperlink w:anchor="user-content-fnref-13">
        <w:r>
          <w:rPr>
            <w:rStyle w:val="Hyperlink"/>
            <w:lang w:val="en"/>
          </w:rPr>
          <w:t xml:space="preserve">↩</w:t>
        </w:r>
      </w:hyperlink>
    </w:p>
    <w:p>
      <w:pPr>
        <w:numPr>
          <w:ilvl w:val="0"/>
          <w:numId w:val="1027"/>
        </w:numPr>
      </w:pPr>
      <w:bookmarkStart w:id="161" w:name="user-content-fn-14"/>
      <w:r>
        <w:rPr>
          <w:lang w:val="en"/>
        </w:rPr>
        <w:t xml:space="preserve">¶15</w:t>
      </w:r>
      <w:r>
        <w:rPr>
          <w:lang w:val="en"/>
        </w:rPr>
        <w:t xml:space="preserve"> </w:t>
      </w:r>
      <w:bookmarkEnd w:id="161"/>
    </w:p>
    <w:p>
      <w:pPr>
        <w:numPr>
          <w:ilvl w:val="0"/>
          <w:numId w:val="1000"/>
        </w:numPr>
      </w:pPr>
      <w:r>
        <w:rPr>
          <w:lang w:val="en"/>
        </w:rPr>
        <w:t xml:space="preserve">AIS (Automatic Identification System) coverage is most complete for commercial vessels over 300 GT operating on major shipping lanes; coverage is materially lower for vessels in remote ocean areas (parts of the Pacific, Indian Ocean and Arctic), for smaller vessel classes, and where terrestrial AIS predominates over satellite AIS. UNCTAD (2023)</w:t>
      </w:r>
      <w:r>
        <w:rPr>
          <w:lang w:val="en"/>
        </w:rPr>
        <w:t xml:space="preserve"> </w:t>
      </w:r>
      <w:r>
        <w:rPr>
          <w:iCs/>
          <w:i/>
          <w:lang w:val="en"/>
        </w:rPr>
        <w:t xml:space="preserve">Review of Maritime Transport</w:t>
      </w:r>
      <w:r>
        <w:rPr>
          <w:lang w:val="en"/>
        </w:rPr>
        <w:t xml:space="preserve"> </w:t>
      </w:r>
      <w:r>
        <w:rPr>
          <w:lang w:val="en"/>
        </w:rPr>
        <w:t xml:space="preserve">and IMO GISIS provide vessel registry data for cross-checking AIS completeness. See also: Comer, B., Olmer, N., Mao, X., Roy, B. and Rutherford, D. (2017).</w:t>
      </w:r>
      <w:r>
        <w:rPr>
          <w:lang w:val="en"/>
        </w:rPr>
        <w:t xml:space="preserve"> </w:t>
      </w:r>
      <w:r>
        <w:rPr>
          <w:iCs/>
          <w:i/>
          <w:lang w:val="en"/>
        </w:rPr>
        <w:t xml:space="preserve">Black carbon emissions and fuel use in global ship-borne trade</w:t>
      </w:r>
      <w:r>
        <w:rPr>
          <w:lang w:val="en"/>
        </w:rPr>
        <w:t xml:space="preserve">. International Council on Clean Transportation.</w:t>
      </w:r>
      <w:r>
        <w:rPr>
          <w:lang w:val="en"/>
        </w:rPr>
        <w:t xml:space="preserve"> </w:t>
      </w:r>
      <w:hyperlink w:anchor="user-content-fnref-14">
        <w:r>
          <w:rPr>
            <w:rStyle w:val="Hyperlink"/>
            <w:lang w:val="en"/>
          </w:rPr>
          <w:t xml:space="preserve">↩</w:t>
        </w:r>
      </w:hyperlink>
    </w:p>
    <w:p>
      <w:pPr>
        <w:numPr>
          <w:ilvl w:val="0"/>
          <w:numId w:val="1027"/>
        </w:numPr>
      </w:pPr>
      <w:bookmarkStart w:id="162" w:name="user-content-fn-15"/>
      <w:r>
        <w:rPr>
          <w:lang w:val="en"/>
        </w:rPr>
        <w:t xml:space="preserve">¶16</w:t>
      </w:r>
      <w:r>
        <w:rPr>
          <w:lang w:val="en"/>
        </w:rPr>
        <w:t xml:space="preserve"> </w:t>
      </w:r>
      <w:bookmarkEnd w:id="162"/>
    </w:p>
    <w:p>
      <w:pPr>
        <w:numPr>
          <w:ilvl w:val="0"/>
          <w:numId w:val="1000"/>
        </w:numPr>
      </w:pPr>
      <w:r>
        <w:rPr>
          <w:lang w:val="en"/>
        </w:rPr>
        <w:t xml:space="preserve">PIANC (World Association for Waterborne Transport Infrastructure) guidelines on port facility classification.</w:t>
      </w:r>
      <w:r>
        <w:rPr>
          <w:lang w:val="en"/>
        </w:rPr>
        <w:t xml:space="preserve"> </w:t>
      </w:r>
      <w:hyperlink w:anchor="user-content-fnref-15">
        <w:r>
          <w:rPr>
            <w:rStyle w:val="Hyperlink"/>
            <w:lang w:val="en"/>
          </w:rPr>
          <w:t xml:space="preserve">↩</w:t>
        </w:r>
      </w:hyperlink>
    </w:p>
    <w:p>
      <w:pPr>
        <w:numPr>
          <w:ilvl w:val="0"/>
          <w:numId w:val="1027"/>
        </w:numPr>
      </w:pPr>
      <w:bookmarkStart w:id="163" w:name="user-content-fn-16"/>
      <w:r>
        <w:rPr>
          <w:lang w:val="en"/>
        </w:rPr>
        <w:t xml:space="preserve">¶17</w:t>
      </w:r>
      <w:r>
        <w:rPr>
          <w:lang w:val="en"/>
        </w:rPr>
        <w:t xml:space="preserve"> </w:t>
      </w:r>
      <w:bookmarkEnd w:id="163"/>
    </w:p>
    <w:p>
      <w:pPr>
        <w:numPr>
          <w:ilvl w:val="0"/>
          <w:numId w:val="1000"/>
        </w:numPr>
      </w:pPr>
      <w:r>
        <w:rPr>
          <w:lang w:val="en"/>
        </w:rPr>
        <w:t xml:space="preserve">SEEA Central Framework, Chapter 5 on land and ecosystems accounting.</w:t>
      </w:r>
      <w:r>
        <w:rPr>
          <w:lang w:val="en"/>
        </w:rPr>
        <w:t xml:space="preserve"> </w:t>
      </w:r>
      <w:hyperlink w:anchor="user-content-fnref-16">
        <w:r>
          <w:rPr>
            <w:rStyle w:val="Hyperlink"/>
            <w:lang w:val="en"/>
          </w:rPr>
          <w:t xml:space="preserve">↩</w:t>
        </w:r>
      </w:hyperlink>
    </w:p>
    <w:p>
      <w:pPr>
        <w:numPr>
          <w:ilvl w:val="0"/>
          <w:numId w:val="1027"/>
        </w:numPr>
      </w:pPr>
      <w:bookmarkStart w:id="164" w:name="user-content-fn-17"/>
      <w:r>
        <w:rPr>
          <w:lang w:val="en"/>
        </w:rPr>
        <w:t xml:space="preserve">¶18</w:t>
      </w:r>
      <w:r>
        <w:rPr>
          <w:lang w:val="en"/>
        </w:rPr>
        <w:t xml:space="preserve"> </w:t>
      </w:r>
      <w:bookmarkEnd w:id="164"/>
    </w:p>
    <w:p>
      <w:pPr>
        <w:numPr>
          <w:ilvl w:val="0"/>
          <w:numId w:val="1000"/>
        </w:numPr>
      </w:pPr>
      <w:r>
        <w:rPr>
          <w:lang w:val="en"/>
        </w:rPr>
        <w:t xml:space="preserve">ISIC Rev.4, Class 4290 includes “dredging of waterways” as part of civil engineering activities. For the capital/maintenance distinction in coastal works generally, see TG-6.11 Section 3.2.4.</w:t>
      </w:r>
      <w:r>
        <w:rPr>
          <w:lang w:val="en"/>
        </w:rPr>
        <w:t xml:space="preserve"> </w:t>
      </w:r>
      <w:hyperlink w:anchor="user-content-fnref-17">
        <w:r>
          <w:rPr>
            <w:rStyle w:val="Hyperlink"/>
            <w:lang w:val="en"/>
          </w:rPr>
          <w:t xml:space="preserve">↩</w:t>
        </w:r>
      </w:hyperlink>
    </w:p>
    <w:p>
      <w:pPr>
        <w:numPr>
          <w:ilvl w:val="0"/>
          <w:numId w:val="1027"/>
        </w:numPr>
      </w:pPr>
      <w:bookmarkStart w:id="165" w:name="user-content-fn-17a"/>
      <w:r>
        <w:rPr>
          <w:lang w:val="en"/>
        </w:rPr>
        <w:t xml:space="preserve">¶19</w:t>
      </w:r>
      <w:r>
        <w:rPr>
          <w:lang w:val="en"/>
        </w:rPr>
        <w:t xml:space="preserve"> </w:t>
      </w:r>
      <w:bookmarkEnd w:id="165"/>
    </w:p>
    <w:p>
      <w:pPr>
        <w:numPr>
          <w:ilvl w:val="0"/>
          <w:numId w:val="1000"/>
        </w:numPr>
      </w:pPr>
      <w:r>
        <w:rPr>
          <w:lang w:val="en"/>
        </w:rPr>
        <w:t xml:space="preserve">SEEA Central Framework (2012), paragraph 3.267 on dredging material flows within physical flow accounts. Contaminated (polluted) dredging spoil is recorded as a residual flow within waste accounts; unpolluted spoil is excluded from the waste-flow boundary. Verify paragraph reference against the SEEA CF PDF before final publication.</w:t>
      </w:r>
      <w:r>
        <w:rPr>
          <w:lang w:val="en"/>
        </w:rPr>
        <w:t xml:space="preserve"> </w:t>
      </w:r>
      <w:hyperlink w:anchor="user-content-fnref-17a">
        <w:r>
          <w:rPr>
            <w:rStyle w:val="Hyperlink"/>
            <w:lang w:val="en"/>
          </w:rPr>
          <w:t xml:space="preserve">↩</w:t>
        </w:r>
      </w:hyperlink>
    </w:p>
    <w:p>
      <w:pPr>
        <w:numPr>
          <w:ilvl w:val="0"/>
          <w:numId w:val="1027"/>
        </w:numPr>
      </w:pPr>
      <w:bookmarkStart w:id="166" w:name="user-content-fn-18"/>
      <w:r>
        <w:rPr>
          <w:lang w:val="en"/>
        </w:rPr>
        <w:t xml:space="preserve">¶20</w:t>
      </w:r>
      <w:r>
        <w:rPr>
          <w:lang w:val="en"/>
        </w:rPr>
        <w:t xml:space="preserve"> </w:t>
      </w:r>
      <w:bookmarkEnd w:id="166"/>
    </w:p>
    <w:p>
      <w:pPr>
        <w:numPr>
          <w:ilvl w:val="0"/>
          <w:numId w:val="1000"/>
        </w:numPr>
      </w:pPr>
      <w:r>
        <w:rPr>
          <w:lang w:val="en"/>
        </w:rPr>
        <w:t xml:space="preserve">SEEA EA, Chapter 4 on ecosystem extent accounts and land cover change.</w:t>
      </w:r>
      <w:r>
        <w:rPr>
          <w:lang w:val="en"/>
        </w:rPr>
        <w:t xml:space="preserve"> </w:t>
      </w:r>
      <w:hyperlink w:anchor="user-content-fnref-18">
        <w:r>
          <w:rPr>
            <w:rStyle w:val="Hyperlink"/>
            <w:lang w:val="en"/>
          </w:rPr>
          <w:t xml:space="preserve">↩</w:t>
        </w:r>
      </w:hyperlink>
    </w:p>
    <w:p>
      <w:pPr>
        <w:numPr>
          <w:ilvl w:val="0"/>
          <w:numId w:val="1027"/>
        </w:numPr>
      </w:pPr>
      <w:bookmarkStart w:id="167" w:name="user-content-fn-19"/>
      <w:r>
        <w:rPr>
          <w:lang w:val="en"/>
        </w:rPr>
        <w:t xml:space="preserve">¶21</w:t>
      </w:r>
      <w:r>
        <w:rPr>
          <w:lang w:val="en"/>
        </w:rPr>
        <w:t xml:space="preserve"> </w:t>
      </w:r>
      <w:bookmarkEnd w:id="167"/>
    </w:p>
    <w:p>
      <w:pPr>
        <w:numPr>
          <w:ilvl w:val="0"/>
          <w:numId w:val="1000"/>
        </w:numPr>
      </w:pPr>
      <w:r>
        <w:rPr>
          <w:lang w:val="en"/>
        </w:rPr>
        <w:t xml:space="preserve">SNA 2025 treatment of gross fixed capital formation in infrastructure.</w:t>
      </w:r>
      <w:r>
        <w:rPr>
          <w:lang w:val="en"/>
        </w:rPr>
        <w:t xml:space="preserve"> </w:t>
      </w:r>
      <w:hyperlink w:anchor="user-content-fnref-19">
        <w:r>
          <w:rPr>
            <w:rStyle w:val="Hyperlink"/>
            <w:lang w:val="en"/>
          </w:rPr>
          <w:t xml:space="preserve">↩</w:t>
        </w:r>
      </w:hyperlink>
    </w:p>
    <w:p>
      <w:pPr>
        <w:numPr>
          <w:ilvl w:val="0"/>
          <w:numId w:val="1027"/>
        </w:numPr>
      </w:pPr>
      <w:bookmarkStart w:id="168" w:name="user-content-fn-20"/>
      <w:r>
        <w:rPr>
          <w:lang w:val="en"/>
        </w:rPr>
        <w:t xml:space="preserve">¶22</w:t>
      </w:r>
      <w:r>
        <w:rPr>
          <w:lang w:val="en"/>
        </w:rPr>
        <w:t xml:space="preserve"> </w:t>
      </w:r>
      <w:bookmarkEnd w:id="168"/>
    </w:p>
    <w:p>
      <w:pPr>
        <w:numPr>
          <w:ilvl w:val="0"/>
          <w:numId w:val="1000"/>
        </w:numPr>
      </w:pPr>
      <w:r>
        <w:rPr>
          <w:lang w:val="en"/>
        </w:rPr>
        <w:t xml:space="preserve">OECD (2009).</w:t>
      </w:r>
      <w:r>
        <w:rPr>
          <w:lang w:val="en"/>
        </w:rPr>
        <w:t xml:space="preserve"> </w:t>
      </w:r>
      <w:r>
        <w:rPr>
          <w:iCs/>
          <w:i/>
          <w:lang w:val="en"/>
        </w:rPr>
        <w:t xml:space="preserve">Measuring Capital: OECD Manual</w:t>
      </w:r>
      <w:r>
        <w:rPr>
          <w:lang w:val="en"/>
        </w:rPr>
        <w:t xml:space="preserve">, 2nd edition. Chapter 6 provides detailed guidance on applying the perpetual inventory method to infrastructure assets.</w:t>
      </w:r>
      <w:r>
        <w:rPr>
          <w:lang w:val="en"/>
        </w:rPr>
        <w:t xml:space="preserve"> </w:t>
      </w:r>
      <w:hyperlink w:anchor="user-content-fnref-20">
        <w:r>
          <w:rPr>
            <w:rStyle w:val="Hyperlink"/>
            <w:lang w:val="en"/>
          </w:rPr>
          <w:t xml:space="preserve">↩</w:t>
        </w:r>
      </w:hyperlink>
    </w:p>
    <w:p>
      <w:pPr>
        <w:numPr>
          <w:ilvl w:val="0"/>
          <w:numId w:val="1027"/>
        </w:numPr>
      </w:pPr>
      <w:bookmarkStart w:id="169" w:name="user-content-fn-20a"/>
      <w:r>
        <w:rPr>
          <w:lang w:val="en"/>
        </w:rPr>
        <w:t xml:space="preserve">¶23</w:t>
      </w:r>
      <w:r>
        <w:rPr>
          <w:lang w:val="en"/>
        </w:rPr>
        <w:t xml:space="preserve"> </w:t>
      </w:r>
      <w:bookmarkEnd w:id="169"/>
    </w:p>
    <w:p>
      <w:pPr>
        <w:numPr>
          <w:ilvl w:val="0"/>
          <w:numId w:val="1000"/>
        </w:numPr>
      </w:pPr>
      <w:r>
        <w:rPr>
          <w:lang w:val="en"/>
        </w:rPr>
        <w:t xml:space="preserve">SNA 2025, asset classification AN1131 (Transport equipment) covers vessels as produced assets in national balance sheets. Vessel registries and the Lloyd’s Register / IHS Markit (LSEG/Clarksons) maritime fleet databases provide standard data sources for vessel acquisition costs and characteristics used in PIM-based vessel capital stock estimation. See OECD (2009), Chapter 6 for PIM application.</w:t>
      </w:r>
      <w:r>
        <w:rPr>
          <w:lang w:val="en"/>
        </w:rPr>
        <w:t xml:space="preserve"> </w:t>
      </w:r>
      <w:hyperlink w:anchor="user-content-fnref-20a">
        <w:r>
          <w:rPr>
            <w:rStyle w:val="Hyperlink"/>
            <w:lang w:val="en"/>
          </w:rPr>
          <w:t xml:space="preserve">↩</w:t>
        </w:r>
      </w:hyperlink>
    </w:p>
    <w:p>
      <w:pPr>
        <w:numPr>
          <w:ilvl w:val="0"/>
          <w:numId w:val="1027"/>
        </w:numPr>
      </w:pPr>
      <w:bookmarkStart w:id="170" w:name="user-content-fn-21"/>
      <w:r>
        <w:rPr>
          <w:lang w:val="en"/>
        </w:rPr>
        <w:t xml:space="preserve">¶24</w:t>
      </w:r>
      <w:r>
        <w:rPr>
          <w:lang w:val="en"/>
        </w:rPr>
        <w:t xml:space="preserve"> </w:t>
      </w:r>
      <w:bookmarkEnd w:id="170"/>
    </w:p>
    <w:p>
      <w:pPr>
        <w:numPr>
          <w:ilvl w:val="0"/>
          <w:numId w:val="1000"/>
        </w:numPr>
      </w:pPr>
      <w:r>
        <w:rPr>
          <w:lang w:val="en"/>
        </w:rPr>
        <w:t xml:space="preserve">SEEA CF (2012), Chapter 3 (Physical Flow Accounts). Air emissions accounts record the generation of gaseous and particulate substances released to the atmosphere by establishments and households as a result of production, consumption and accumulation processes. The specific paragraph supporting this definition is in Chapter 3, Section 3.6 on air emissions accounts; the paragraph number (previously cited as 3.91) has not been confirmed against the SEEA CF 2012 print edition and has been replaced with this section-level citation to ensure robustness.</w:t>
      </w:r>
      <w:r>
        <w:rPr>
          <w:lang w:val="en"/>
        </w:rPr>
        <w:t xml:space="preserve"> </w:t>
      </w:r>
      <w:hyperlink w:anchor="user-content-fnref-21">
        <w:r>
          <w:rPr>
            <w:rStyle w:val="Hyperlink"/>
            <w:lang w:val="en"/>
          </w:rPr>
          <w:t xml:space="preserve">↩</w:t>
        </w:r>
      </w:hyperlink>
    </w:p>
    <w:p>
      <w:pPr>
        <w:numPr>
          <w:ilvl w:val="0"/>
          <w:numId w:val="1027"/>
        </w:numPr>
      </w:pPr>
      <w:bookmarkStart w:id="171" w:name="user-content-fn-21a"/>
      <w:r>
        <w:rPr>
          <w:lang w:val="en"/>
        </w:rPr>
        <w:t xml:space="preserve">¶25</w:t>
      </w:r>
      <w:r>
        <w:rPr>
          <w:lang w:val="en"/>
        </w:rPr>
        <w:t xml:space="preserve"> </w:t>
      </w:r>
      <w:bookmarkEnd w:id="171"/>
    </w:p>
    <w:p>
      <w:pPr>
        <w:numPr>
          <w:ilvl w:val="0"/>
          <w:numId w:val="1000"/>
        </w:numPr>
      </w:pPr>
      <w:r>
        <w:rPr>
          <w:lang w:val="en"/>
        </w:rPr>
        <w:t xml:space="preserve">IPCC. (2021).</w:t>
      </w:r>
      <w:r>
        <w:rPr>
          <w:lang w:val="en"/>
        </w:rPr>
        <w:t xml:space="preserve"> </w:t>
      </w:r>
      <w:r>
        <w:rPr>
          <w:iCs/>
          <w:i/>
          <w:lang w:val="en"/>
        </w:rPr>
        <w:t xml:space="preserve">Climate Change 2021: The Physical Science Basis. Contribution of Working Group I to the Sixth Assessment Report of the Intergovernmental Panel on Climate Change</w:t>
      </w:r>
      <w:r>
        <w:rPr>
          <w:lang w:val="en"/>
        </w:rPr>
        <w:t xml:space="preserve">. Chapter 7 (The Earth’s Energy Budget, Climate Feedbacks and Climate Sensitivity), Supplementary Material Table 7.SM.7 (GWP100 values, including climate-carbon-feedback effects for fossil CH4). Cambridge University Press. See also UNFCCC Decision 18/CMA.1 on the common reporting framework for national GHG inventories.</w:t>
      </w:r>
      <w:r>
        <w:rPr>
          <w:lang w:val="en"/>
        </w:rPr>
        <w:t xml:space="preserve"> </w:t>
      </w:r>
      <w:hyperlink w:anchor="user-content-fnref-21a">
        <w:r>
          <w:rPr>
            <w:rStyle w:val="Hyperlink"/>
            <w:lang w:val="en"/>
          </w:rPr>
          <w:t xml:space="preserve">↩</w:t>
        </w:r>
      </w:hyperlink>
    </w:p>
    <w:p>
      <w:pPr>
        <w:numPr>
          <w:ilvl w:val="0"/>
          <w:numId w:val="1027"/>
        </w:numPr>
      </w:pPr>
      <w:bookmarkStart w:id="172" w:name="user-content-fn-22"/>
      <w:r>
        <w:rPr>
          <w:lang w:val="en"/>
        </w:rPr>
        <w:t xml:space="preserve">¶26</w:t>
      </w:r>
      <w:r>
        <w:rPr>
          <w:lang w:val="en"/>
        </w:rPr>
        <w:t xml:space="preserve"> </w:t>
      </w:r>
      <w:bookmarkEnd w:id="172"/>
    </w:p>
    <w:p>
      <w:pPr>
        <w:numPr>
          <w:ilvl w:val="0"/>
          <w:numId w:val="1000"/>
        </w:numPr>
      </w:pPr>
      <w:r>
        <w:rPr>
          <w:lang w:val="en"/>
        </w:rPr>
        <w:t xml:space="preserve">IPCC. (2006).</w:t>
      </w:r>
      <w:r>
        <w:rPr>
          <w:lang w:val="en"/>
        </w:rPr>
        <w:t xml:space="preserve"> </w:t>
      </w:r>
      <w:r>
        <w:rPr>
          <w:iCs/>
          <w:i/>
          <w:lang w:val="en"/>
        </w:rPr>
        <w:t xml:space="preserve">2006 IPCC Guidelines for National Greenhouse Gas Inventories</w:t>
      </w:r>
      <w:r>
        <w:rPr>
          <w:lang w:val="en"/>
        </w:rPr>
        <w:t xml:space="preserve">. Volume 2, Chapter 3 on mobile combustion.</w:t>
      </w:r>
      <w:r>
        <w:rPr>
          <w:lang w:val="en"/>
        </w:rPr>
        <w:t xml:space="preserve"> </w:t>
      </w:r>
      <w:hyperlink w:anchor="user-content-fnref-22">
        <w:r>
          <w:rPr>
            <w:rStyle w:val="Hyperlink"/>
            <w:lang w:val="en"/>
          </w:rPr>
          <w:t xml:space="preserve">↩</w:t>
        </w:r>
      </w:hyperlink>
    </w:p>
    <w:p>
      <w:pPr>
        <w:numPr>
          <w:ilvl w:val="0"/>
          <w:numId w:val="1027"/>
        </w:numPr>
      </w:pPr>
      <w:bookmarkStart w:id="173" w:name="user-content-fn-23"/>
      <w:r>
        <w:rPr>
          <w:lang w:val="en"/>
        </w:rPr>
        <w:t xml:space="preserve">¶27</w:t>
      </w:r>
      <w:r>
        <w:rPr>
          <w:lang w:val="en"/>
        </w:rPr>
        <w:t xml:space="preserve"> </w:t>
      </w:r>
      <w:bookmarkEnd w:id="173"/>
    </w:p>
    <w:p>
      <w:pPr>
        <w:numPr>
          <w:ilvl w:val="0"/>
          <w:numId w:val="1000"/>
        </w:numPr>
      </w:pPr>
      <w:r>
        <w:rPr>
          <w:lang w:val="en"/>
        </w:rPr>
        <w:t xml:space="preserve">Fourth IMO GHG Study (2020) and IPCC 2006 Guidelines provide complementary emission factor sources for maritime transport.</w:t>
      </w:r>
      <w:r>
        <w:rPr>
          <w:lang w:val="en"/>
        </w:rPr>
        <w:t xml:space="preserve"> </w:t>
      </w:r>
      <w:hyperlink w:anchor="user-content-fnref-23">
        <w:r>
          <w:rPr>
            <w:rStyle w:val="Hyperlink"/>
            <w:lang w:val="en"/>
          </w:rPr>
          <w:t xml:space="preserve">↩</w:t>
        </w:r>
      </w:hyperlink>
    </w:p>
    <w:p>
      <w:pPr>
        <w:numPr>
          <w:ilvl w:val="0"/>
          <w:numId w:val="1027"/>
        </w:numPr>
      </w:pPr>
      <w:bookmarkStart w:id="174" w:name="user-content-fn-24"/>
      <w:r>
        <w:rPr>
          <w:lang w:val="en"/>
        </w:rPr>
        <w:t xml:space="preserve">¶28</w:t>
      </w:r>
      <w:r>
        <w:rPr>
          <w:lang w:val="en"/>
        </w:rPr>
        <w:t xml:space="preserve"> </w:t>
      </w:r>
      <w:bookmarkEnd w:id="174"/>
    </w:p>
    <w:p>
      <w:pPr>
        <w:numPr>
          <w:ilvl w:val="0"/>
          <w:numId w:val="1000"/>
        </w:numPr>
      </w:pPr>
      <w:r>
        <w:rPr>
          <w:lang w:val="en"/>
        </w:rPr>
        <w:t xml:space="preserve">SEEA CF, paragraph 2.110 on the residence principle, aligned with SNA. See also SNA 2025, Chapter 4 on globalisation and institutional units.</w:t>
      </w:r>
      <w:r>
        <w:rPr>
          <w:lang w:val="en"/>
        </w:rPr>
        <w:t xml:space="preserve"> </w:t>
      </w:r>
      <w:hyperlink w:anchor="user-content-fnref-24">
        <w:r>
          <w:rPr>
            <w:rStyle w:val="Hyperlink"/>
            <w:lang w:val="en"/>
          </w:rPr>
          <w:t xml:space="preserve">↩</w:t>
        </w:r>
      </w:hyperlink>
    </w:p>
    <w:p>
      <w:pPr>
        <w:numPr>
          <w:ilvl w:val="0"/>
          <w:numId w:val="1027"/>
        </w:numPr>
      </w:pPr>
      <w:bookmarkStart w:id="175" w:name="user-content-fn-24a"/>
      <w:r>
        <w:rPr>
          <w:lang w:val="en"/>
        </w:rPr>
        <w:t xml:space="preserve">¶29</w:t>
      </w:r>
      <w:r>
        <w:rPr>
          <w:lang w:val="en"/>
        </w:rPr>
        <w:t xml:space="preserve"> </w:t>
      </w:r>
      <w:bookmarkEnd w:id="175"/>
    </w:p>
    <w:p>
      <w:pPr>
        <w:numPr>
          <w:ilvl w:val="0"/>
          <w:numId w:val="1000"/>
        </w:numPr>
      </w:pPr>
      <w:r>
        <w:rPr>
          <w:lang w:val="en"/>
        </w:rPr>
        <w:t xml:space="preserve">IPCC. (2006).</w:t>
      </w:r>
      <w:r>
        <w:rPr>
          <w:lang w:val="en"/>
        </w:rPr>
        <w:t xml:space="preserve"> </w:t>
      </w:r>
      <w:r>
        <w:rPr>
          <w:iCs/>
          <w:i/>
          <w:lang w:val="en"/>
        </w:rPr>
        <w:t xml:space="preserve">2006 IPCC Guidelines for National Greenhouse Gas Inventories</w:t>
      </w:r>
      <w:r>
        <w:rPr>
          <w:lang w:val="en"/>
        </w:rPr>
        <w:t xml:space="preserve">. Volume 2 (Energy), Chapter 3 (Mobile Combustion), Section 3.4 on international bunkers (treated as a memo item excluded from national totals). For broader reconciliation between SEEA-attributed shipping emissions and IPCC memo-item bunker fuel quantities, see</w:t>
      </w:r>
      <w:r>
        <w:rPr>
          <w:lang w:val="en"/>
        </w:rPr>
        <w:t xml:space="preserve"> </w:t>
      </w:r>
      <w:hyperlink r:id="rId37">
        <w:r>
          <w:rPr>
            <w:rStyle w:val="Hyperlink"/>
            <w:bCs/>
            <w:b/>
            <w:lang w:val="en"/>
          </w:rPr>
          <w:t xml:space="preserve">TG-2.8 Climate Indicators</w:t>
        </w:r>
      </w:hyperlink>
      <w:r>
        <w:rPr>
          <w:lang w:val="en"/>
        </w:rPr>
        <w:t xml:space="preserve">.</w:t>
      </w:r>
      <w:r>
        <w:rPr>
          <w:lang w:val="en"/>
        </w:rPr>
        <w:t xml:space="preserve"> </w:t>
      </w:r>
      <w:hyperlink w:anchor="user-content-fnref-24a">
        <w:r>
          <w:rPr>
            <w:rStyle w:val="Hyperlink"/>
            <w:lang w:val="en"/>
          </w:rPr>
          <w:t xml:space="preserve">↩</w:t>
        </w:r>
      </w:hyperlink>
    </w:p>
    <w:p>
      <w:pPr>
        <w:numPr>
          <w:ilvl w:val="0"/>
          <w:numId w:val="1027"/>
        </w:numPr>
      </w:pPr>
      <w:bookmarkStart w:id="176" w:name="user-content-fn-25"/>
      <w:r>
        <w:rPr>
          <w:lang w:val="en"/>
        </w:rPr>
        <w:t xml:space="preserve">¶30</w:t>
      </w:r>
      <w:r>
        <w:rPr>
          <w:lang w:val="en"/>
        </w:rPr>
        <w:t xml:space="preserve"> </w:t>
      </w:r>
      <w:bookmarkEnd w:id="176"/>
    </w:p>
    <w:p>
      <w:pPr>
        <w:numPr>
          <w:ilvl w:val="0"/>
          <w:numId w:val="1000"/>
        </w:numPr>
      </w:pPr>
      <w:r>
        <w:rPr>
          <w:lang w:val="en"/>
        </w:rPr>
        <w:t xml:space="preserve">WHO. (2021).</w:t>
      </w:r>
      <w:r>
        <w:rPr>
          <w:lang w:val="en"/>
        </w:rPr>
        <w:t xml:space="preserve"> </w:t>
      </w:r>
      <w:r>
        <w:rPr>
          <w:iCs/>
          <w:i/>
          <w:lang w:val="en"/>
        </w:rPr>
        <w:t xml:space="preserve">Air Quality Guidelines</w:t>
      </w:r>
      <w:r>
        <w:rPr>
          <w:lang w:val="en"/>
        </w:rPr>
        <w:t xml:space="preserve">. World Health Organization. European Environment Agency guidance on shipping emissions. See also EMEP/EEA (2019),</w:t>
      </w:r>
      <w:r>
        <w:rPr>
          <w:lang w:val="en"/>
        </w:rPr>
        <w:t xml:space="preserve"> </w:t>
      </w:r>
      <w:r>
        <w:rPr>
          <w:iCs/>
          <w:i/>
          <w:lang w:val="en"/>
        </w:rPr>
        <w:t xml:space="preserve">Air Pollutant Emission Inventory Guidebook</w:t>
      </w:r>
      <w:r>
        <w:rPr>
          <w:lang w:val="en"/>
        </w:rPr>
        <w:t xml:space="preserve">, Chapter 1.A.3.d on shipping.</w:t>
      </w:r>
      <w:r>
        <w:rPr>
          <w:lang w:val="en"/>
        </w:rPr>
        <w:t xml:space="preserve"> </w:t>
      </w:r>
      <w:hyperlink w:anchor="user-content-fnref-25">
        <w:r>
          <w:rPr>
            <w:rStyle w:val="Hyperlink"/>
            <w:lang w:val="en"/>
          </w:rPr>
          <w:t xml:space="preserve">↩</w:t>
        </w:r>
      </w:hyperlink>
    </w:p>
    <w:p>
      <w:pPr>
        <w:numPr>
          <w:ilvl w:val="0"/>
          <w:numId w:val="1027"/>
        </w:numPr>
      </w:pPr>
      <w:bookmarkStart w:id="177" w:name="user-content-fn-26"/>
      <w:r>
        <w:rPr>
          <w:lang w:val="en"/>
        </w:rPr>
        <w:t xml:space="preserve">¶31</w:t>
      </w:r>
      <w:r>
        <w:rPr>
          <w:lang w:val="en"/>
        </w:rPr>
        <w:t xml:space="preserve"> </w:t>
      </w:r>
      <w:bookmarkEnd w:id="177"/>
    </w:p>
    <w:p>
      <w:pPr>
        <w:numPr>
          <w:ilvl w:val="0"/>
          <w:numId w:val="1000"/>
        </w:numPr>
      </w:pPr>
      <w:r>
        <w:rPr>
          <w:lang w:val="en"/>
        </w:rPr>
        <w:t xml:space="preserve">IMO MARPOL Annex VI establishes global sulphur limits and designates Emission Control Areas (ECAs). The 2020 sulphur cap reduced the global limit from 3.50% to 0.50% m/m.</w:t>
      </w:r>
      <w:r>
        <w:rPr>
          <w:lang w:val="en"/>
        </w:rPr>
        <w:t xml:space="preserve"> </w:t>
      </w:r>
      <w:hyperlink w:anchor="user-content-fnref-26">
        <w:r>
          <w:rPr>
            <w:rStyle w:val="Hyperlink"/>
            <w:lang w:val="en"/>
          </w:rPr>
          <w:t xml:space="preserve">↩</w:t>
        </w:r>
      </w:hyperlink>
    </w:p>
    <w:p>
      <w:pPr>
        <w:numPr>
          <w:ilvl w:val="0"/>
          <w:numId w:val="1027"/>
        </w:numPr>
      </w:pPr>
      <w:bookmarkStart w:id="178" w:name="user-content-fn-27"/>
      <w:r>
        <w:rPr>
          <w:lang w:val="en"/>
        </w:rPr>
        <w:t xml:space="preserve">¶32</w:t>
      </w:r>
      <w:r>
        <w:rPr>
          <w:lang w:val="en"/>
        </w:rPr>
        <w:t xml:space="preserve"> </w:t>
      </w:r>
      <w:bookmarkEnd w:id="178"/>
    </w:p>
    <w:p>
      <w:pPr>
        <w:numPr>
          <w:ilvl w:val="0"/>
          <w:numId w:val="1000"/>
        </w:numPr>
      </w:pPr>
      <w:r>
        <w:rPr>
          <w:lang w:val="en"/>
        </w:rPr>
        <w:t xml:space="preserve">NOAA. (2023).</w:t>
      </w:r>
      <w:r>
        <w:rPr>
          <w:lang w:val="en"/>
        </w:rPr>
        <w:t xml:space="preserve"> </w:t>
      </w:r>
      <w:r>
        <w:rPr>
          <w:iCs/>
          <w:i/>
          <w:lang w:val="en"/>
        </w:rPr>
        <w:t xml:space="preserve">Ocean Noise Strategy Roadmap</w:t>
      </w:r>
      <w:r>
        <w:rPr>
          <w:lang w:val="en"/>
        </w:rPr>
        <w:t xml:space="preserve">. National Oceanic and Atmospheric Administration. Identifies shipping as dominant source of low-frequency noise.</w:t>
      </w:r>
      <w:r>
        <w:rPr>
          <w:lang w:val="en"/>
        </w:rPr>
        <w:t xml:space="preserve"> </w:t>
      </w:r>
      <w:hyperlink w:anchor="user-content-fnref-27">
        <w:r>
          <w:rPr>
            <w:rStyle w:val="Hyperlink"/>
            <w:lang w:val="en"/>
          </w:rPr>
          <w:t xml:space="preserve">↩</w:t>
        </w:r>
      </w:hyperlink>
    </w:p>
    <w:p>
      <w:pPr>
        <w:numPr>
          <w:ilvl w:val="0"/>
          <w:numId w:val="1027"/>
        </w:numPr>
      </w:pPr>
      <w:bookmarkStart w:id="179" w:name="user-content-fn-28"/>
      <w:r>
        <w:rPr>
          <w:lang w:val="en"/>
        </w:rPr>
        <w:t xml:space="preserve">¶33</w:t>
      </w:r>
      <w:r>
        <w:rPr>
          <w:lang w:val="en"/>
        </w:rPr>
        <w:t xml:space="preserve"> </w:t>
      </w:r>
      <w:bookmarkEnd w:id="179"/>
    </w:p>
    <w:p>
      <w:pPr>
        <w:numPr>
          <w:ilvl w:val="0"/>
          <w:numId w:val="1000"/>
        </w:numPr>
      </w:pPr>
      <w:r>
        <w:rPr>
          <w:lang w:val="en"/>
        </w:rPr>
        <w:t xml:space="preserve">JOMOPANS (Joint Monitoring Programme for Ambient Noise in the North Sea) project methodology for mapping shipping noise in European waters. IMO MEPC.1/Circ.833 provides voluntary guidelines.</w:t>
      </w:r>
      <w:r>
        <w:rPr>
          <w:lang w:val="en"/>
        </w:rPr>
        <w:t xml:space="preserve"> </w:t>
      </w:r>
      <w:hyperlink w:anchor="user-content-fnref-28">
        <w:r>
          <w:rPr>
            <w:rStyle w:val="Hyperlink"/>
            <w:lang w:val="en"/>
          </w:rPr>
          <w:t xml:space="preserve">↩</w:t>
        </w:r>
      </w:hyperlink>
    </w:p>
    <w:p>
      <w:pPr>
        <w:numPr>
          <w:ilvl w:val="0"/>
          <w:numId w:val="1027"/>
        </w:numPr>
      </w:pPr>
      <w:bookmarkStart w:id="180" w:name="user-content-fn-29"/>
      <w:r>
        <w:rPr>
          <w:lang w:val="en"/>
        </w:rPr>
        <w:t xml:space="preserve">¶34</w:t>
      </w:r>
      <w:r>
        <w:rPr>
          <w:lang w:val="en"/>
        </w:rPr>
        <w:t xml:space="preserve"> </w:t>
      </w:r>
      <w:bookmarkEnd w:id="180"/>
    </w:p>
    <w:p>
      <w:pPr>
        <w:numPr>
          <w:ilvl w:val="0"/>
          <w:numId w:val="1000"/>
        </w:numPr>
      </w:pPr>
      <w:r>
        <w:rPr>
          <w:lang w:val="en"/>
        </w:rPr>
        <w:t xml:space="preserve">SNA 2025, Chapter 6 on the production account and derivation of value added.</w:t>
      </w:r>
      <w:r>
        <w:rPr>
          <w:lang w:val="en"/>
        </w:rPr>
        <w:t xml:space="preserve"> </w:t>
      </w:r>
      <w:hyperlink w:anchor="user-content-fnref-29">
        <w:r>
          <w:rPr>
            <w:rStyle w:val="Hyperlink"/>
            <w:lang w:val="en"/>
          </w:rPr>
          <w:t xml:space="preserve">↩</w:t>
        </w:r>
      </w:hyperlink>
    </w:p>
    <w:p>
      <w:pPr>
        <w:numPr>
          <w:ilvl w:val="0"/>
          <w:numId w:val="1027"/>
        </w:numPr>
      </w:pPr>
      <w:bookmarkStart w:id="181" w:name="user-content-fn-30"/>
      <w:r>
        <w:rPr>
          <w:lang w:val="en"/>
        </w:rPr>
        <w:t xml:space="preserve">¶35</w:t>
      </w:r>
      <w:r>
        <w:rPr>
          <w:lang w:val="en"/>
        </w:rPr>
        <w:t xml:space="preserve"> </w:t>
      </w:r>
      <w:bookmarkEnd w:id="181"/>
    </w:p>
    <w:p>
      <w:pPr>
        <w:numPr>
          <w:ilvl w:val="0"/>
          <w:numId w:val="1000"/>
        </w:numPr>
      </w:pPr>
      <w:r>
        <w:rPr>
          <w:lang w:val="en"/>
        </w:rPr>
        <w:t xml:space="preserve">ILO. (2006).</w:t>
      </w:r>
      <w:r>
        <w:rPr>
          <w:lang w:val="en"/>
        </w:rPr>
        <w:t xml:space="preserve"> </w:t>
      </w:r>
      <w:r>
        <w:rPr>
          <w:iCs/>
          <w:i/>
          <w:lang w:val="en"/>
        </w:rPr>
        <w:t xml:space="preserve">Maritime Labour Convention (MLC 2006)</w:t>
      </w:r>
      <w:r>
        <w:rPr>
          <w:lang w:val="en"/>
        </w:rPr>
        <w:t xml:space="preserve">. International Labour Organization. Definitions for seafarer employment.</w:t>
      </w:r>
      <w:r>
        <w:rPr>
          <w:lang w:val="en"/>
        </w:rPr>
        <w:t xml:space="preserve"> </w:t>
      </w:r>
      <w:hyperlink w:anchor="user-content-fnref-30">
        <w:r>
          <w:rPr>
            <w:rStyle w:val="Hyperlink"/>
            <w:lang w:val="en"/>
          </w:rPr>
          <w:t xml:space="preserve">↩</w:t>
        </w:r>
      </w:hyperlink>
    </w:p>
    <w:p>
      <w:pPr>
        <w:numPr>
          <w:ilvl w:val="0"/>
          <w:numId w:val="1027"/>
        </w:numPr>
      </w:pPr>
      <w:bookmarkStart w:id="182" w:name="user-content-fn-30a"/>
      <w:r>
        <w:rPr>
          <w:lang w:val="en"/>
        </w:rPr>
        <w:t xml:space="preserve">¶36</w:t>
      </w:r>
      <w:r>
        <w:rPr>
          <w:lang w:val="en"/>
        </w:rPr>
        <w:t xml:space="preserve"> </w:t>
      </w:r>
      <w:bookmarkEnd w:id="182"/>
    </w:p>
    <w:p>
      <w:pPr>
        <w:numPr>
          <w:ilvl w:val="0"/>
          <w:numId w:val="1000"/>
        </w:numPr>
      </w:pPr>
      <w:r>
        <w:rPr>
          <w:lang w:val="en"/>
        </w:rPr>
        <w:t xml:space="preserve">ILO Maritime Labour Convention, 2006 (MLC 2006), Title I, Regulation 1.4; SNA 2025, Chapter 19 on labour accounts and residence.</w:t>
      </w:r>
      <w:r>
        <w:rPr>
          <w:lang w:val="en"/>
        </w:rPr>
        <w:t xml:space="preserve"> </w:t>
      </w:r>
      <w:hyperlink w:anchor="user-content-fnref-30a">
        <w:r>
          <w:rPr>
            <w:rStyle w:val="Hyperlink"/>
            <w:lang w:val="en"/>
          </w:rPr>
          <w:t xml:space="preserve">↩</w:t>
        </w:r>
      </w:hyperlink>
    </w:p>
    <w:p>
      <w:pPr>
        <w:numPr>
          <w:ilvl w:val="0"/>
          <w:numId w:val="1027"/>
        </w:numPr>
      </w:pPr>
      <w:bookmarkStart w:id="183" w:name="user-content-fn-30b"/>
      <w:r>
        <w:rPr>
          <w:lang w:val="en"/>
        </w:rPr>
        <w:t xml:space="preserve">¶37</w:t>
      </w:r>
      <w:r>
        <w:rPr>
          <w:lang w:val="en"/>
        </w:rPr>
        <w:t xml:space="preserve"> </w:t>
      </w:r>
      <w:bookmarkEnd w:id="183"/>
    </w:p>
    <w:p>
      <w:pPr>
        <w:numPr>
          <w:ilvl w:val="0"/>
          <w:numId w:val="1000"/>
        </w:numPr>
      </w:pPr>
      <w:r>
        <w:rPr>
          <w:lang w:val="en"/>
        </w:rPr>
        <w:t xml:space="preserve">BIMCO and International Chamber of Shipping (ICS). (2021).</w:t>
      </w:r>
      <w:r>
        <w:rPr>
          <w:lang w:val="en"/>
        </w:rPr>
        <w:t xml:space="preserve"> </w:t>
      </w:r>
      <w:r>
        <w:rPr>
          <w:iCs/>
          <w:i/>
          <w:lang w:val="en"/>
        </w:rPr>
        <w:t xml:space="preserve">Seafarer Workforce Report: 2021 edition</w:t>
      </w:r>
      <w:r>
        <w:rPr>
          <w:lang w:val="en"/>
        </w:rPr>
        <w:t xml:space="preserve">. BIMCO/ICS.</w:t>
      </w:r>
      <w:r>
        <w:rPr>
          <w:lang w:val="en"/>
        </w:rPr>
        <w:t xml:space="preserve"> </w:t>
      </w:r>
      <w:hyperlink r:id="rId184">
        <w:r>
          <w:rPr>
            <w:rStyle w:val="Hyperlink"/>
            <w:lang w:val="en"/>
          </w:rPr>
          <w:t xml:space="preserve">ICS Publications</w:t>
        </w:r>
      </w:hyperlink>
      <w:r>
        <w:rPr>
          <w:lang w:val="en"/>
        </w:rPr>
        <w:t xml:space="preserve">. Provides national seafarer supply estimates by country of residence; used as a reference benchmark when reconciling MLC flag-state data to a residence basis.</w:t>
      </w:r>
      <w:r>
        <w:rPr>
          <w:lang w:val="en"/>
        </w:rPr>
        <w:t xml:space="preserve"> </w:t>
      </w:r>
      <w:hyperlink w:anchor="user-content-fnref-30b">
        <w:r>
          <w:rPr>
            <w:rStyle w:val="Hyperlink"/>
            <w:lang w:val="en"/>
          </w:rPr>
          <w:t xml:space="preserve">↩</w:t>
        </w:r>
      </w:hyperlink>
    </w:p>
    <w:p>
      <w:pPr>
        <w:numPr>
          <w:ilvl w:val="0"/>
          <w:numId w:val="1027"/>
        </w:numPr>
      </w:pPr>
      <w:bookmarkStart w:id="185" w:name="user-content-fn-31"/>
      <w:r>
        <w:rPr>
          <w:lang w:val="en"/>
        </w:rPr>
        <w:t xml:space="preserve">¶38</w:t>
      </w:r>
      <w:r>
        <w:rPr>
          <w:lang w:val="en"/>
        </w:rPr>
        <w:t xml:space="preserve"> </w:t>
      </w:r>
      <w:bookmarkEnd w:id="185"/>
    </w:p>
    <w:p>
      <w:pPr>
        <w:numPr>
          <w:ilvl w:val="0"/>
          <w:numId w:val="1000"/>
        </w:numPr>
      </w:pPr>
      <w:r>
        <w:rPr>
          <w:lang w:val="en"/>
        </w:rPr>
        <w:t xml:space="preserve">Leontief input-output framework for measuring inter-industry linkages.</w:t>
      </w:r>
      <w:r>
        <w:rPr>
          <w:lang w:val="en"/>
        </w:rPr>
        <w:t xml:space="preserve"> </w:t>
      </w:r>
      <w:hyperlink w:anchor="user-content-fnref-31">
        <w:r>
          <w:rPr>
            <w:rStyle w:val="Hyperlink"/>
            <w:lang w:val="en"/>
          </w:rPr>
          <w:t xml:space="preserve">↩</w:t>
        </w:r>
      </w:hyperlink>
    </w:p>
    <w:p>
      <w:pPr>
        <w:numPr>
          <w:ilvl w:val="0"/>
          <w:numId w:val="1027"/>
        </w:numPr>
      </w:pPr>
      <w:bookmarkStart w:id="186" w:name="user-content-fn-32"/>
      <w:r>
        <w:rPr>
          <w:lang w:val="en"/>
        </w:rPr>
        <w:t xml:space="preserve">¶39</w:t>
      </w:r>
      <w:r>
        <w:rPr>
          <w:lang w:val="en"/>
        </w:rPr>
        <w:t xml:space="preserve"> </w:t>
      </w:r>
      <w:bookmarkEnd w:id="186"/>
    </w:p>
    <w:p>
      <w:pPr>
        <w:numPr>
          <w:ilvl w:val="0"/>
          <w:numId w:val="1000"/>
        </w:numPr>
      </w:pPr>
      <w:r>
        <w:rPr>
          <w:lang w:val="en"/>
        </w:rPr>
        <w:t xml:space="preserve">Supply and use tables methodology per SNA 2025 Chapter 15.</w:t>
      </w:r>
      <w:r>
        <w:rPr>
          <w:lang w:val="en"/>
        </w:rPr>
        <w:t xml:space="preserve"> </w:t>
      </w:r>
      <w:hyperlink w:anchor="user-content-fnref-32">
        <w:r>
          <w:rPr>
            <w:rStyle w:val="Hyperlink"/>
            <w:lang w:val="en"/>
          </w:rPr>
          <w:t xml:space="preserve">↩</w:t>
        </w:r>
      </w:hyperlink>
    </w:p>
    <w:p>
      <w:pPr>
        <w:numPr>
          <w:ilvl w:val="0"/>
          <w:numId w:val="1027"/>
        </w:numPr>
      </w:pPr>
      <w:bookmarkStart w:id="187" w:name="user-content-fn-33"/>
      <w:r>
        <w:rPr>
          <w:lang w:val="en"/>
        </w:rPr>
        <w:t xml:space="preserve">¶40</w:t>
      </w:r>
      <w:r>
        <w:rPr>
          <w:lang w:val="en"/>
        </w:rPr>
        <w:t xml:space="preserve"> </w:t>
      </w:r>
      <w:bookmarkEnd w:id="187"/>
    </w:p>
    <w:p>
      <w:pPr>
        <w:numPr>
          <w:ilvl w:val="0"/>
          <w:numId w:val="1000"/>
        </w:numPr>
      </w:pPr>
      <w:r>
        <w:rPr>
          <w:lang w:val="en"/>
        </w:rPr>
        <w:t xml:space="preserve">IMO. (2017).</w:t>
      </w:r>
      <w:r>
        <w:rPr>
          <w:lang w:val="en"/>
        </w:rPr>
        <w:t xml:space="preserve"> </w:t>
      </w:r>
      <w:r>
        <w:rPr>
          <w:iCs/>
          <w:i/>
          <w:lang w:val="en"/>
        </w:rPr>
        <w:t xml:space="preserve">Ballast Water Management Convention (BWM Convention)</w:t>
      </w:r>
      <w:r>
        <w:rPr>
          <w:lang w:val="en"/>
        </w:rPr>
        <w:t xml:space="preserve">. International Maritime Organization. Entered into force 2017.</w:t>
      </w:r>
      <w:r>
        <w:rPr>
          <w:lang w:val="en"/>
        </w:rPr>
        <w:t xml:space="preserve"> </w:t>
      </w:r>
      <w:hyperlink w:anchor="user-content-fnref-33">
        <w:r>
          <w:rPr>
            <w:rStyle w:val="Hyperlink"/>
            <w:lang w:val="en"/>
          </w:rPr>
          <w:t xml:space="preserve">↩</w:t>
        </w:r>
      </w:hyperlink>
    </w:p>
    <w:p>
      <w:pPr>
        <w:numPr>
          <w:ilvl w:val="0"/>
          <w:numId w:val="1027"/>
        </w:numPr>
      </w:pPr>
      <w:bookmarkStart w:id="188" w:name="user-content-fn-34"/>
      <w:r>
        <w:rPr>
          <w:lang w:val="en"/>
        </w:rPr>
        <w:t xml:space="preserve">¶41</w:t>
      </w:r>
      <w:r>
        <w:rPr>
          <w:lang w:val="en"/>
        </w:rPr>
        <w:t xml:space="preserve"> </w:t>
      </w:r>
      <w:bookmarkEnd w:id="188"/>
    </w:p>
    <w:p>
      <w:pPr>
        <w:numPr>
          <w:ilvl w:val="0"/>
          <w:numId w:val="1000"/>
        </w:numPr>
      </w:pPr>
      <w:r>
        <w:rPr>
          <w:lang w:val="en"/>
        </w:rPr>
        <w:t xml:space="preserve">IMO. (2011).</w:t>
      </w:r>
      <w:r>
        <w:rPr>
          <w:lang w:val="en"/>
        </w:rPr>
        <w:t xml:space="preserve"> </w:t>
      </w:r>
      <w:r>
        <w:rPr>
          <w:iCs/>
          <w:i/>
          <w:lang w:val="en"/>
        </w:rPr>
        <w:t xml:space="preserve">Biofouling Guidelines (MEPC.207(62))</w:t>
      </w:r>
      <w:r>
        <w:rPr>
          <w:lang w:val="en"/>
        </w:rPr>
        <w:t xml:space="preserve">. International Maritime Organization. Voluntary measures for hull biofouling management.</w:t>
      </w:r>
      <w:r>
        <w:rPr>
          <w:lang w:val="en"/>
        </w:rPr>
        <w:t xml:space="preserve"> </w:t>
      </w:r>
      <w:hyperlink w:anchor="user-content-fnref-34">
        <w:r>
          <w:rPr>
            <w:rStyle w:val="Hyperlink"/>
            <w:lang w:val="en"/>
          </w:rPr>
          <w:t xml:space="preserve">↩</w:t>
        </w:r>
      </w:hyperlink>
    </w:p>
    <w:p>
      <w:pPr>
        <w:numPr>
          <w:ilvl w:val="0"/>
          <w:numId w:val="1027"/>
        </w:numPr>
      </w:pPr>
      <w:bookmarkStart w:id="189" w:name="user-content-fn-35"/>
      <w:r>
        <w:rPr>
          <w:lang w:val="en"/>
        </w:rPr>
        <w:t xml:space="preserve">¶42</w:t>
      </w:r>
      <w:r>
        <w:rPr>
          <w:lang w:val="en"/>
        </w:rPr>
        <w:t xml:space="preserve"> </w:t>
      </w:r>
      <w:bookmarkEnd w:id="189"/>
    </w:p>
    <w:p>
      <w:pPr>
        <w:numPr>
          <w:ilvl w:val="0"/>
          <w:numId w:val="1000"/>
        </w:numPr>
      </w:pPr>
      <w:r>
        <w:rPr>
          <w:lang w:val="en"/>
        </w:rPr>
        <w:t xml:space="preserve">UNEP/MAP guidelines on anchoring impacts in Mediterranean Marine Protected Areas.</w:t>
      </w:r>
      <w:r>
        <w:rPr>
          <w:lang w:val="en"/>
        </w:rPr>
        <w:t xml:space="preserve"> </w:t>
      </w:r>
      <w:hyperlink w:anchor="user-content-fnref-35">
        <w:r>
          <w:rPr>
            <w:rStyle w:val="Hyperlink"/>
            <w:lang w:val="en"/>
          </w:rPr>
          <w:t xml:space="preserve">↩</w:t>
        </w:r>
      </w:hyperlink>
    </w:p>
    <w:p>
      <w:pPr>
        <w:numPr>
          <w:ilvl w:val="0"/>
          <w:numId w:val="1027"/>
        </w:numPr>
      </w:pPr>
      <w:bookmarkStart w:id="190" w:name="user-content-fn-36"/>
      <w:r>
        <w:rPr>
          <w:lang w:val="en"/>
        </w:rPr>
        <w:t xml:space="preserve">¶43</w:t>
      </w:r>
      <w:r>
        <w:rPr>
          <w:lang w:val="en"/>
        </w:rPr>
        <w:t xml:space="preserve"> </w:t>
      </w:r>
      <w:bookmarkEnd w:id="190"/>
    </w:p>
    <w:p>
      <w:pPr>
        <w:numPr>
          <w:ilvl w:val="0"/>
          <w:numId w:val="1000"/>
        </w:numPr>
      </w:pPr>
      <w:r>
        <w:rPr>
          <w:lang w:val="en"/>
        </w:rPr>
        <w:t xml:space="preserve">ITOPF statistics on oil spill trends and response operations.</w:t>
      </w:r>
      <w:r>
        <w:rPr>
          <w:lang w:val="en"/>
        </w:rPr>
        <w:t xml:space="preserve"> </w:t>
      </w:r>
      <w:hyperlink w:anchor="user-content-fnref-36">
        <w:r>
          <w:rPr>
            <w:rStyle w:val="Hyperlink"/>
            <w:lang w:val="en"/>
          </w:rPr>
          <w:t xml:space="preserve">↩</w:t>
        </w:r>
      </w:hyperlink>
    </w:p>
    <w:p>
      <w:pPr>
        <w:numPr>
          <w:ilvl w:val="0"/>
          <w:numId w:val="1027"/>
        </w:numPr>
      </w:pPr>
      <w:bookmarkStart w:id="191" w:name="user-content-fn-37"/>
      <w:r>
        <w:rPr>
          <w:lang w:val="en"/>
        </w:rPr>
        <w:t xml:space="preserve">¶44</w:t>
      </w:r>
      <w:r>
        <w:rPr>
          <w:lang w:val="en"/>
        </w:rPr>
        <w:t xml:space="preserve"> </w:t>
      </w:r>
      <w:bookmarkEnd w:id="191"/>
    </w:p>
    <w:p>
      <w:pPr>
        <w:numPr>
          <w:ilvl w:val="0"/>
          <w:numId w:val="1000"/>
        </w:numPr>
      </w:pPr>
      <w:r>
        <w:rPr>
          <w:lang w:val="en"/>
        </w:rPr>
        <w:t xml:space="preserve">SNA 2025, Chapter 15, paras 15.9, 15.130—15.139 on supply and use table compilation. See also TG-3.3 Section 3.4 on ocean economy SUT compilation.</w:t>
      </w:r>
      <w:r>
        <w:rPr>
          <w:lang w:val="en"/>
        </w:rPr>
        <w:t xml:space="preserve"> </w:t>
      </w:r>
      <w:hyperlink w:anchor="user-content-fnref-37">
        <w:r>
          <w:rPr>
            <w:rStyle w:val="Hyperlink"/>
            <w:lang w:val="en"/>
          </w:rPr>
          <w:t xml:space="preserve">↩</w:t>
        </w:r>
      </w:hyperlink>
    </w:p>
    <w:p>
      <w:pPr>
        <w:numPr>
          <w:ilvl w:val="0"/>
          <w:numId w:val="1027"/>
        </w:numPr>
      </w:pPr>
      <w:bookmarkStart w:id="192" w:name="user-content-fn-37a"/>
      <w:r>
        <w:rPr>
          <w:lang w:val="en"/>
        </w:rPr>
        <w:t xml:space="preserve">¶45</w:t>
      </w:r>
      <w:r>
        <w:rPr>
          <w:lang w:val="en"/>
        </w:rPr>
        <w:t xml:space="preserve"> </w:t>
      </w:r>
      <w:bookmarkEnd w:id="192"/>
    </w:p>
    <w:p>
      <w:pPr>
        <w:numPr>
          <w:ilvl w:val="0"/>
          <w:numId w:val="1000"/>
        </w:numPr>
      </w:pPr>
      <w:r>
        <w:rPr>
          <w:lang w:val="en"/>
        </w:rPr>
        <w:t xml:space="preserve">BPM6 (Balance of Payments and International Investment Position Manual, 6th edition), paragraphs 10.73—10.88 on transportation services in the balance of payments (chapter number and paragraph range to be verified against the BPM6 PDF — IMF editions vary between Chapter 10 and Chapter 12 for the services treatment). Provides the framework for identifying maritime services provided by non-resident enterprises (foreign shipping lines at domestic ports).</w:t>
      </w:r>
      <w:r>
        <w:rPr>
          <w:lang w:val="en"/>
        </w:rPr>
        <w:t xml:space="preserve"> </w:t>
      </w:r>
      <w:hyperlink w:anchor="user-content-fnref-37a">
        <w:r>
          <w:rPr>
            <w:rStyle w:val="Hyperlink"/>
            <w:lang w:val="en"/>
          </w:rPr>
          <w:t xml:space="preserve">↩</w:t>
        </w:r>
      </w:hyperlink>
    </w:p>
    <w:p>
      <w:pPr>
        <w:numPr>
          <w:ilvl w:val="0"/>
          <w:numId w:val="1027"/>
        </w:numPr>
      </w:pPr>
      <w:bookmarkStart w:id="193" w:name="user-content-fn-38"/>
      <w:r>
        <w:rPr>
          <w:lang w:val="en"/>
        </w:rPr>
        <w:t xml:space="preserve">¶46</w:t>
      </w:r>
      <w:r>
        <w:rPr>
          <w:lang w:val="en"/>
        </w:rPr>
        <w:t xml:space="preserve"> </w:t>
      </w:r>
      <w:bookmarkEnd w:id="193"/>
    </w:p>
    <w:p>
      <w:pPr>
        <w:numPr>
          <w:ilvl w:val="0"/>
          <w:numId w:val="1000"/>
        </w:numPr>
      </w:pPr>
      <w:r>
        <w:rPr>
          <w:lang w:val="en"/>
        </w:rPr>
        <w:t xml:space="preserve">Data source guidance aligns with</w:t>
      </w:r>
      <w:r>
        <w:rPr>
          <w:lang w:val="en"/>
        </w:rPr>
        <w:t xml:space="preserve"> </w:t>
      </w:r>
      <w:hyperlink r:id="rId194">
        <w:r>
          <w:rPr>
            <w:rStyle w:val="Hyperlink"/>
            <w:bCs/>
            <w:b/>
            <w:lang w:val="en"/>
          </w:rPr>
          <w:t xml:space="preserve">TG-4.2 Survey Methods</w:t>
        </w:r>
      </w:hyperlink>
      <w:r>
        <w:rPr>
          <w:lang w:val="en"/>
        </w:rPr>
        <w:t xml:space="preserve">,</w:t>
      </w:r>
      <w:r>
        <w:rPr>
          <w:lang w:val="en"/>
        </w:rPr>
        <w:t xml:space="preserve"> </w:t>
      </w:r>
      <w:hyperlink r:id="rId195">
        <w:r>
          <w:rPr>
            <w:rStyle w:val="Hyperlink"/>
            <w:bCs/>
            <w:b/>
            <w:lang w:val="en"/>
          </w:rPr>
          <w:t xml:space="preserve">TG-4.3 Administrative Data</w:t>
        </w:r>
      </w:hyperlink>
      <w:r>
        <w:rPr>
          <w:lang w:val="en"/>
        </w:rPr>
        <w:t xml:space="preserve">, and</w:t>
      </w:r>
      <w:r>
        <w:rPr>
          <w:lang w:val="en"/>
        </w:rPr>
        <w:t xml:space="preserve"> </w:t>
      </w:r>
      <w:hyperlink r:id="rId196">
        <w:r>
          <w:rPr>
            <w:rStyle w:val="Hyperlink"/>
            <w:bCs/>
            <w:b/>
            <w:lang w:val="en"/>
          </w:rPr>
          <w:t xml:space="preserve">TG-4.6 Data Harmonisation</w:t>
        </w:r>
      </w:hyperlink>
      <w:r>
        <w:rPr>
          <w:lang w:val="en"/>
        </w:rPr>
        <w:t xml:space="preserve">.</w:t>
      </w:r>
      <w:r>
        <w:rPr>
          <w:lang w:val="en"/>
        </w:rPr>
        <w:t xml:space="preserve"> </w:t>
      </w:r>
      <w:hyperlink w:anchor="user-content-fnref-38">
        <w:r>
          <w:rPr>
            <w:rStyle w:val="Hyperlink"/>
            <w:lang w:val="en"/>
          </w:rPr>
          <w:t xml:space="preserve">↩</w:t>
        </w:r>
      </w:hyperlink>
    </w:p>
    <w:bookmarkStart w:id="197" w:name="tg-peek-card"/>
    <w:bookmarkEnd w:id="19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svgz" /><Relationship Type="http://schemas.openxmlformats.org/officeDocument/2006/relationships/image" Id="rId136" Target="media/rId136.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6" Target="https://guidance.oceanaccounts.org/circulars/section-0/0-1-general-introduction" TargetMode="External" /><Relationship Type="http://schemas.openxmlformats.org/officeDocument/2006/relationships/hyperlink" Id="rId49" Target="https://guidance.oceanaccounts.org/circulars/section-0/0-8-implementation-readiness" TargetMode="External" /><Relationship Type="http://schemas.openxmlformats.org/officeDocument/2006/relationships/hyperlink" Id="rId94" Target="https://guidance.oceanaccounts.org/circulars/section-2/2-1-biophysical-indicators" TargetMode="External" /><Relationship Type="http://schemas.openxmlformats.org/officeDocument/2006/relationships/hyperlink" Id="rId34" Target="https://guidance.oceanaccounts.org/circulars/section-2/2-5-ocean-economy-structure" TargetMode="External" /><Relationship Type="http://schemas.openxmlformats.org/officeDocument/2006/relationships/hyperlink" Id="rId90" Target="https://guidance.oceanaccounts.org/circulars/section-2/2-7-pollution-flows" TargetMode="External" /><Relationship Type="http://schemas.openxmlformats.org/officeDocument/2006/relationships/hyperlink" Id="rId37" Target="https://guidance.oceanaccounts.org/circulars/section-2/2-8-climate-indicators" TargetMode="External" /><Relationship Type="http://schemas.openxmlformats.org/officeDocument/2006/relationships/hyperlink" Id="rId35" Target="https://guidance.oceanaccounts.org/circulars/section-3/3-1-assets" TargetMode="External" /><Relationship Type="http://schemas.openxmlformats.org/officeDocument/2006/relationships/hyperlink" Id="rId32" Target="https://guidance.oceanaccounts.org/circulars/section-3/3-3-economic-activity" TargetMode="External" /><Relationship Type="http://schemas.openxmlformats.org/officeDocument/2006/relationships/hyperlink" Id="rId33" Target="https://guidance.oceanaccounts.org/circulars/section-3/3-4-flows-econ-env" TargetMode="External" /><Relationship Type="http://schemas.openxmlformats.org/officeDocument/2006/relationships/hyperlink" Id="rId38" Target="https://guidance.oceanaccounts.org/circulars/section-3/3-5-social-accounts" TargetMode="External" /><Relationship Type="http://schemas.openxmlformats.org/officeDocument/2006/relationships/hyperlink" Id="rId47" Target="https://guidance.oceanaccounts.org/circulars/section-4/4-1-remote-sensing" TargetMode="External" /><Relationship Type="http://schemas.openxmlformats.org/officeDocument/2006/relationships/hyperlink" Id="rId194" Target="https://guidance.oceanaccounts.org/circulars/section-4/4-2-survey-methods" TargetMode="External" /><Relationship Type="http://schemas.openxmlformats.org/officeDocument/2006/relationships/hyperlink" Id="rId195" Target="https://guidance.oceanaccounts.org/circulars/section-4/4-3-administrative-data" TargetMode="External" /><Relationship Type="http://schemas.openxmlformats.org/officeDocument/2006/relationships/hyperlink" Id="rId196" Target="https://guidance.oceanaccounts.org/circulars/section-4/4-6-data-harmonisation" TargetMode="External" /><Relationship Type="http://schemas.openxmlformats.org/officeDocument/2006/relationships/hyperlink" Id="rId110" Target="https://guidance.oceanaccounts.org/circulars/section-6/6-1-coral-reef" TargetMode="External" /><Relationship Type="http://schemas.openxmlformats.org/officeDocument/2006/relationships/hyperlink" Id="rId36" Target="https://guidance.oceanaccounts.org/circulars/section-6/6-11-coastal-infrastructure" TargetMode="External" /><Relationship Type="http://schemas.openxmlformats.org/officeDocument/2006/relationships/hyperlink" Id="rId42" Target="https://guidance.oceanaccounts.org/circulars/section-6/6-12-marine-litter" TargetMode="External" /><Relationship Type="http://schemas.openxmlformats.org/officeDocument/2006/relationships/hyperlink" Id="rId111" Target="https://guidance.oceanaccounts.org/circulars/section-6/6-3-seagrass" TargetMode="External" /><Relationship Type="http://schemas.openxmlformats.org/officeDocument/2006/relationships/hyperlink" Id="rId62" Target="https://guidance.oceanaccounts.org/circulars/section-6/6-7-fisheries-stock-assessment" TargetMode="External" /><Relationship Type="http://schemas.openxmlformats.org/officeDocument/2006/relationships/hyperlink" Id="rId48" Target="https://guidance.oceanaccounts.org/circulars/section-6/6-9-offshore-energy-thematic" TargetMode="External" /><Relationship Type="http://schemas.openxmlformats.org/officeDocument/2006/relationships/hyperlink" Id="rId147" Target="https://unctad.org/publication/review-maritime-transport-2023" TargetMode="External" /><Relationship Type="http://schemas.openxmlformats.org/officeDocument/2006/relationships/hyperlink" Id="rId184" Target="https://www.ics-shipping.org/publication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6" Target="https://guidance.oceanaccounts.org/circulars/section-0/0-1-general-introduction" TargetMode="External" /><Relationship Type="http://schemas.openxmlformats.org/officeDocument/2006/relationships/hyperlink" Id="rId49" Target="https://guidance.oceanaccounts.org/circulars/section-0/0-8-implementation-readiness" TargetMode="External" /><Relationship Type="http://schemas.openxmlformats.org/officeDocument/2006/relationships/hyperlink" Id="rId94" Target="https://guidance.oceanaccounts.org/circulars/section-2/2-1-biophysical-indicators" TargetMode="External" /><Relationship Type="http://schemas.openxmlformats.org/officeDocument/2006/relationships/hyperlink" Id="rId34" Target="https://guidance.oceanaccounts.org/circulars/section-2/2-5-ocean-economy-structure" TargetMode="External" /><Relationship Type="http://schemas.openxmlformats.org/officeDocument/2006/relationships/hyperlink" Id="rId90" Target="https://guidance.oceanaccounts.org/circulars/section-2/2-7-pollution-flows" TargetMode="External" /><Relationship Type="http://schemas.openxmlformats.org/officeDocument/2006/relationships/hyperlink" Id="rId37" Target="https://guidance.oceanaccounts.org/circulars/section-2/2-8-climate-indicators" TargetMode="External" /><Relationship Type="http://schemas.openxmlformats.org/officeDocument/2006/relationships/hyperlink" Id="rId35" Target="https://guidance.oceanaccounts.org/circulars/section-3/3-1-assets" TargetMode="External" /><Relationship Type="http://schemas.openxmlformats.org/officeDocument/2006/relationships/hyperlink" Id="rId32" Target="https://guidance.oceanaccounts.org/circulars/section-3/3-3-economic-activity" TargetMode="External" /><Relationship Type="http://schemas.openxmlformats.org/officeDocument/2006/relationships/hyperlink" Id="rId33" Target="https://guidance.oceanaccounts.org/circulars/section-3/3-4-flows-econ-env" TargetMode="External" /><Relationship Type="http://schemas.openxmlformats.org/officeDocument/2006/relationships/hyperlink" Id="rId38" Target="https://guidance.oceanaccounts.org/circulars/section-3/3-5-social-accounts" TargetMode="External" /><Relationship Type="http://schemas.openxmlformats.org/officeDocument/2006/relationships/hyperlink" Id="rId47" Target="https://guidance.oceanaccounts.org/circulars/section-4/4-1-remote-sensing" TargetMode="External" /><Relationship Type="http://schemas.openxmlformats.org/officeDocument/2006/relationships/hyperlink" Id="rId194" Target="https://guidance.oceanaccounts.org/circulars/section-4/4-2-survey-methods" TargetMode="External" /><Relationship Type="http://schemas.openxmlformats.org/officeDocument/2006/relationships/hyperlink" Id="rId195" Target="https://guidance.oceanaccounts.org/circulars/section-4/4-3-administrative-data" TargetMode="External" /><Relationship Type="http://schemas.openxmlformats.org/officeDocument/2006/relationships/hyperlink" Id="rId196" Target="https://guidance.oceanaccounts.org/circulars/section-4/4-6-data-harmonisation" TargetMode="External" /><Relationship Type="http://schemas.openxmlformats.org/officeDocument/2006/relationships/hyperlink" Id="rId110" Target="https://guidance.oceanaccounts.org/circulars/section-6/6-1-coral-reef" TargetMode="External" /><Relationship Type="http://schemas.openxmlformats.org/officeDocument/2006/relationships/hyperlink" Id="rId36" Target="https://guidance.oceanaccounts.org/circulars/section-6/6-11-coastal-infrastructure" TargetMode="External" /><Relationship Type="http://schemas.openxmlformats.org/officeDocument/2006/relationships/hyperlink" Id="rId42" Target="https://guidance.oceanaccounts.org/circulars/section-6/6-12-marine-litter" TargetMode="External" /><Relationship Type="http://schemas.openxmlformats.org/officeDocument/2006/relationships/hyperlink" Id="rId111" Target="https://guidance.oceanaccounts.org/circulars/section-6/6-3-seagrass" TargetMode="External" /><Relationship Type="http://schemas.openxmlformats.org/officeDocument/2006/relationships/hyperlink" Id="rId62" Target="https://guidance.oceanaccounts.org/circulars/section-6/6-7-fisheries-stock-assessment" TargetMode="External" /><Relationship Type="http://schemas.openxmlformats.org/officeDocument/2006/relationships/hyperlink" Id="rId48" Target="https://guidance.oceanaccounts.org/circulars/section-6/6-9-offshore-energy-thematic" TargetMode="External" /><Relationship Type="http://schemas.openxmlformats.org/officeDocument/2006/relationships/hyperlink" Id="rId147" Target="https://unctad.org/publication/review-maritime-transport-2023" TargetMode="External" /><Relationship Type="http://schemas.openxmlformats.org/officeDocument/2006/relationships/hyperlink" Id="rId184" Target="https://www.ics-shipping.org/publicat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Transport and Ports | Global Ocean Accounts Partnership</dc:title>
  <dc:creator/>
  <dc:description>Provides thematic methodology for compiling ocean accounts relating to maritime transport and port activities.</dc:description>
  <dc:language>en</dc:language>
  <cp:keywords/>
  <dcterms:created xsi:type="dcterms:W3CDTF">2026-10-23T04:12:50Z</dcterms:created>
  <dcterms:modified xsi:type="dcterms:W3CDTF">2026-10-23T04:12:50Z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https://guidance.oceanaccounts.org/circulars/section-6/6-10-maritime-transport/</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Maritime Transport and Ports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Maritime Transport and Ports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