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svgz" ContentType="image/svg+xml;base64"/>
  <Override PartName="/word/media/rId116.svgz" ContentType="image/svg+xml;base64"/>
  <Override PartName="/word/media/rId119.svgz" ContentType="image/svg+xml;base64"/>
  <Override PartName="/word/media/rId35.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 Condition Measurement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TG-4.9 Section 4: Compiling and Producing Data Applied Draft TG-4.9 Applied Draft Section 4 Section 4: Compiling and Producing Data biological condition biodiversity species abundance benthic survey coral cover seagrass extent biomass ecological indicators ECT SEEA EA eDNA BRUVS GCRMN SEEA MEA multilateral environmental agreement blue carbon mangrove mangroves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TG-4.9</w:t>
            </w:r>
          </w:p>
        </w:tc>
      </w:tr>
      <w:tr>
        <w:tc>
          <w:tcPr/>
          <w:p>
            <w:pPr>
              <w:pStyle w:val="Compact"/>
              <w:jc w:val="left"/>
            </w:pPr>
            <w:r>
              <w:rPr>
                <w:bCs/>
                <w:b/>
                <w:lang w:val="en"/>
              </w:rPr>
              <w:t xml:space="preserve">Version</w:t>
            </w:r>
          </w:p>
        </w:tc>
        <w:tc>
          <w:tcPr/>
          <w:p>
            <w:pPr>
              <w:pStyle w:val="Compact"/>
              <w:jc w:val="left"/>
            </w:pPr>
            <w:r>
              <w:rPr>
                <w:lang w:val="en"/>
              </w:rPr>
              <w:t xml:space="preserve">0.8.1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TG-4.9 · Section 4: Compiling and Producing Data · 1 September 2026</w:t>
      </w:r>
    </w:p>
    <w:bookmarkStart w:id="26" w:name="biological-condition-measurement"/>
    <w:p>
      <w:pPr>
        <w:pStyle w:val="Heading1"/>
      </w:pPr>
      <w:r>
        <w:rPr>
          <w:lang w:val="en"/>
        </w:rPr>
        <w:t xml:space="preserve">Biological Condition Measurement</w:t>
      </w:r>
    </w:p>
    <w:p>
      <w:pPr>
        <w:pStyle w:val="FirstParagraph"/>
      </w:pPr>
      <w:r>
        <w:rPr>
          <w:lang w:val="en"/>
        </w:rPr>
        <w:t xml:space="preserve">Translates biotic field measurements and remote-sensing products into SEEA EA ecosystem condition indicators (ECT Classes B1–B3 and C1).</w:t>
      </w:r>
    </w:p>
    <w:p>
      <w:pPr>
        <w:pStyle w:val="DefinitionTerm"/>
      </w:pPr>
      <w:r>
        <w:rPr>
          <w:lang w:val="en"/>
        </w:rPr>
        <w:t xml:space="preserve">Version</w:t>
      </w:r>
    </w:p>
    <w:p>
      <w:pPr>
        <w:pStyle w:val="Definition"/>
      </w:pPr>
      <w:r>
        <w:rPr>
          <w:lang w:val="en"/>
        </w:rPr>
        <w:t xml:space="preserve">0.8.1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28c41cd25077b984978cf30a1d1973b375e72ff">
        <w:r>
          <w:rPr>
            <w:rStyle w:val="Hyperlink"/>
            <w:lang w:val="en"/>
          </w:rPr>
          <w:t xml:space="preserve">3.1 Conceptual Framework</w:t>
        </w:r>
      </w:hyperlink>
    </w:p>
    <w:p>
      <w:pPr>
        <w:numPr>
          <w:ilvl w:val="1"/>
          <w:numId w:val="1002"/>
        </w:numPr>
        <w:pStyle w:val="Compact"/>
      </w:pPr>
      <w:hyperlink w:anchor="X9a39f3da9c27ab4bb6b084d60306dd296ee5c41">
        <w:r>
          <w:rPr>
            <w:rStyle w:val="Hyperlink"/>
            <w:lang w:val="en"/>
          </w:rPr>
          <w:t xml:space="preserve">3.2 Biological Indicator Selection</w:t>
        </w:r>
      </w:hyperlink>
    </w:p>
    <w:p>
      <w:pPr>
        <w:numPr>
          <w:ilvl w:val="1"/>
          <w:numId w:val="1002"/>
        </w:numPr>
        <w:pStyle w:val="Compact"/>
      </w:pPr>
      <w:hyperlink w:anchor="X5339a65d11c55e3455856663bc8a7764b488120">
        <w:r>
          <w:rPr>
            <w:rStyle w:val="Hyperlink"/>
            <w:lang w:val="en"/>
          </w:rPr>
          <w:t xml:space="preserve">3.3 Measurement Protocols</w:t>
        </w:r>
      </w:hyperlink>
    </w:p>
    <w:p>
      <w:pPr>
        <w:numPr>
          <w:ilvl w:val="1"/>
          <w:numId w:val="1002"/>
        </w:numPr>
        <w:pStyle w:val="Compact"/>
      </w:pPr>
      <w:hyperlink w:anchor="Xcfc23259436dd473c4c514f871405c5c045adae">
        <w:r>
          <w:rPr>
            <w:rStyle w:val="Hyperlink"/>
            <w:lang w:val="en"/>
          </w:rPr>
          <w:t xml:space="preserve">3.4 Data Requirements and Sources</w:t>
        </w:r>
      </w:hyperlink>
    </w:p>
    <w:p>
      <w:pPr>
        <w:numPr>
          <w:ilvl w:val="1"/>
          <w:numId w:val="1002"/>
        </w:numPr>
        <w:pStyle w:val="Compact"/>
      </w:pPr>
      <w:hyperlink w:anchor="Xef91d0b2d7fa838f2be52cfe6cabf0ba2b5a6bc">
        <w:r>
          <w:rPr>
            <w:rStyle w:val="Hyperlink"/>
            <w:lang w:val="en"/>
          </w:rPr>
          <w:t xml:space="preserve">3.5 Reporting and Integration</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Biological Condition Measurement (2026) (GOAP Technical Guidance on Ocean Accounting, TG-4.9, v0.8.1). GOAP Secretariat. https://guidance.oceanaccounts.org/circulars/section-4/4-9-biological-condition-measurement/</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lockText"/>
      </w:pPr>
      <w:r>
        <w:rPr>
          <w:bCs/>
          <w:b/>
          <w:lang w:val="en"/>
        </w:rPr>
        <w:t xml:space="preserve">Framework position:</w:t>
      </w:r>
      <w:r>
        <w:rPr>
          <w:lang w:val="en"/>
        </w:rPr>
        <w:t xml:space="preserve"> </w:t>
      </w:r>
      <w:r>
        <w:rPr>
          <w:lang w:val="en"/>
        </w:rPr>
        <w:t xml:space="preserve">Biotic counterpart to</w:t>
      </w:r>
      <w:r>
        <w:rPr>
          <w:lang w:val="en"/>
        </w:rPr>
        <w:t xml:space="preserve"> </w:t>
      </w:r>
      <w:hyperlink r:id="rId28">
        <w:r>
          <w:rPr>
            <w:rStyle w:val="Hyperlink"/>
            <w:bCs/>
            <w:b/>
            <w:lang w:val="en"/>
          </w:rPr>
          <w:t xml:space="preserve">TG-4.8 Physical Condition Measurement</w:t>
        </w:r>
      </w:hyperlink>
      <w:r>
        <w:rPr>
          <w:lang w:val="en"/>
        </w:rPr>
        <w:t xml:space="preserve">. Feeds the ecosystem-specific accounting circulars TG-6.1 through TG-6.5, and draws on</w:t>
      </w:r>
      <w:r>
        <w:rPr>
          <w:lang w:val="en"/>
        </w:rPr>
        <w:t xml:space="preserve"> </w:t>
      </w:r>
      <w:hyperlink r:id="rId29">
        <w:r>
          <w:rPr>
            <w:rStyle w:val="Hyperlink"/>
            <w:bCs/>
            <w:b/>
            <w:lang w:val="en"/>
          </w:rPr>
          <w:t xml:space="preserve">TG-4.4 Citizen Science</w:t>
        </w:r>
      </w:hyperlink>
      <w:r>
        <w:rPr>
          <w:lang w:val="en"/>
        </w:rPr>
        <w:t xml:space="preserve"> </w:t>
      </w:r>
      <w:r>
        <w:rPr>
          <w:lang w:val="en"/>
        </w:rPr>
        <w:t xml:space="preserve">for community-based survey data.</w:t>
      </w:r>
    </w:p>
    <w:p>
      <w:pPr>
        <w:pStyle w:val="FirstParagraph"/>
      </w:pPr>
      <w:r>
        <w:rPr>
          <w:lang w:val="en"/>
        </w:rPr>
        <w:t xml:space="preserve">¶1</w:t>
      </w:r>
      <w:r>
        <w:rPr>
          <w:lang w:val="en"/>
        </w:rPr>
        <w:t xml:space="preserve"> </w:t>
      </w:r>
      <w:r>
        <w:drawing>
          <wp:inline>
            <wp:extent cx="152400" cy="152400"/>
            <wp:effectExtent b="0" l="0" r="0" t="0"/>
            <wp:docPr descr="" title="" id="31"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TG-4.9 sits within Section 4 (Data Methods). It owns the biotic condition variable — ECT Classes B1, B2, B3 and C1 — from indicator selection and core sets by ecosystem type, through in-situ survey protocol, taxonomic resolution, quality control and the tiered data source hierarchy, to the indicator delivered against a documented reference with its sampling error and tier flag. It does not own the composites or the account. Aggregation weights for class sub-indices and overall condition indices are set under</w:t>
      </w:r>
      <w:r>
        <w:rPr>
          <w:lang w:val="en"/>
        </w:rPr>
        <w:t xml:space="preserve"> </w:t>
      </w:r>
      <w:hyperlink r:id="rId33">
        <w:r>
          <w:rPr>
            <w:rStyle w:val="Hyperlink"/>
            <w:bCs/>
            <w:b/>
            <w:lang w:val="en"/>
          </w:rPr>
          <w:t xml:space="preserve">TG-2.1 Aggregate Biophysical Indicators of Environmental State</w:t>
        </w:r>
      </w:hyperlink>
      <w:r>
        <w:rPr>
          <w:lang w:val="en"/>
        </w:rPr>
        <w:t xml:space="preserve">; the condition account is</w:t>
      </w:r>
      <w:r>
        <w:rPr>
          <w:lang w:val="en"/>
        </w:rPr>
        <w:t xml:space="preserve"> </w:t>
      </w:r>
      <w:hyperlink r:id="rId34">
        <w:r>
          <w:rPr>
            <w:rStyle w:val="Hyperlink"/>
            <w:bCs/>
            <w:b/>
            <w:lang w:val="en"/>
          </w:rPr>
          <w:t xml:space="preserve">TG-3.1 Asset Accounts</w:t>
        </w:r>
      </w:hyperlink>
      <w:r>
        <w:rPr>
          <w:lang w:val="en"/>
        </w:rPr>
        <w:t xml:space="preserve"> </w:t>
      </w:r>
      <w:r>
        <w:rPr>
          <w:lang w:val="en"/>
        </w:rPr>
        <w:t xml:space="preserve">Section 3.5.2. Abiotic variables are</w:t>
      </w:r>
      <w:r>
        <w:rPr>
          <w:lang w:val="en"/>
        </w:rPr>
        <w:t xml:space="preserve"> </w:t>
      </w:r>
      <w:hyperlink r:id="rId28">
        <w:r>
          <w:rPr>
            <w:rStyle w:val="Hyperlink"/>
            <w:bCs/>
            <w:b/>
            <w:lang w:val="en"/>
          </w:rPr>
          <w:t xml:space="preserve">TG-4.8 Physical Condition Measurement</w:t>
        </w:r>
      </w:hyperlink>
      <w:r>
        <w:rPr>
          <w:lang w:val="en"/>
        </w:rPr>
        <w:t xml:space="preserve">.</w:t>
      </w:r>
    </w:p>
    <w:bookmarkStart w:id="38"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8"/>
    <w:p>
      <w:pPr>
        <w:pStyle w:val="BodyText"/>
      </w:pPr>
      <w:r>
        <w:rPr>
          <w:lang w:val="en"/>
        </w:rPr>
        <w:t xml:space="preserve">¶1</w:t>
      </w:r>
      <w:r>
        <w:rPr>
          <w:lang w:val="en"/>
        </w:rPr>
        <w:t xml:space="preserve"> </w:t>
      </w:r>
      <w:r>
        <w:rPr>
          <w:lang w:val="en"/>
        </w:rPr>
        <w:t xml:space="preserve">This Circular translates biotic field measurements and remote-sensing products into SEEA EA ecosystem condition indicators (ECT Classes B1—B3 and C1). Upon implementation, compilers will be able to (1) select bio-indicators by ecosystem type, (2) apply standardised in-situ, remote-sensing, and citizen-science protocols, (3) compile condition variable tables conforming to SEEA EA Table 5.2, and (4) apply tiered data approaches in data-poor contexts.</w:t>
      </w:r>
    </w:p>
    <w:bookmarkStart w:id="41"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1"/>
    <w:p>
      <w:pPr>
        <w:numPr>
          <w:ilvl w:val="0"/>
          <w:numId w:val="1003"/>
        </w:numPr>
        <w:pStyle w:val="Compact"/>
      </w:pPr>
      <w:r>
        <w:rPr>
          <w:lang w:val="en"/>
        </w:rPr>
        <w:t xml:space="preserve">¶1</w:t>
      </w:r>
      <w:r>
        <w:rPr>
          <w:lang w:val="en"/>
        </w:rPr>
        <w:t xml:space="preserve"> </w:t>
      </w:r>
      <w:hyperlink r:id="rId42">
        <w:r>
          <w:rPr>
            <w:rStyle w:val="Hyperlink"/>
            <w:bCs/>
            <w:b/>
            <w:lang w:val="en"/>
          </w:rPr>
          <w:t xml:space="preserve">TG-0.1</w:t>
        </w:r>
      </w:hyperlink>
      <w:r>
        <w:rPr>
          <w:lang w:val="en"/>
        </w:rPr>
        <w:t xml:space="preserve"> </w:t>
      </w:r>
      <w:r>
        <w:rPr>
          <w:lang w:val="en"/>
        </w:rPr>
        <w:t xml:space="preserve">— SEEA EA framework.</w:t>
      </w:r>
    </w:p>
    <w:p>
      <w:pPr>
        <w:numPr>
          <w:ilvl w:val="0"/>
          <w:numId w:val="1003"/>
        </w:numPr>
        <w:pStyle w:val="Compact"/>
      </w:pPr>
      <w:r>
        <w:rPr>
          <w:lang w:val="en"/>
        </w:rPr>
        <w:t xml:space="preserve">¶2</w:t>
      </w:r>
      <w:r>
        <w:rPr>
          <w:lang w:val="en"/>
        </w:rPr>
        <w:t xml:space="preserve"> </w:t>
      </w:r>
      <w:hyperlink r:id="rId43">
        <w:r>
          <w:rPr>
            <w:rStyle w:val="Hyperlink"/>
            <w:bCs/>
            <w:b/>
            <w:lang w:val="en"/>
          </w:rPr>
          <w:t xml:space="preserve">TG-0.7</w:t>
        </w:r>
      </w:hyperlink>
      <w:r>
        <w:rPr>
          <w:lang w:val="en"/>
        </w:rPr>
        <w:t xml:space="preserve"> </w:t>
      </w:r>
      <w:r>
        <w:rPr>
          <w:lang w:val="en"/>
        </w:rPr>
        <w:t xml:space="preserve">— QA framework.</w:t>
      </w:r>
    </w:p>
    <w:p>
      <w:pPr>
        <w:numPr>
          <w:ilvl w:val="0"/>
          <w:numId w:val="1003"/>
        </w:numPr>
        <w:pStyle w:val="Compact"/>
      </w:pPr>
      <w:r>
        <w:rPr>
          <w:lang w:val="en"/>
        </w:rPr>
        <w:t xml:space="preserve">¶3</w:t>
      </w:r>
      <w:r>
        <w:rPr>
          <w:lang w:val="en"/>
        </w:rPr>
        <w:t xml:space="preserve"> </w:t>
      </w:r>
      <w:hyperlink r:id="rId34">
        <w:r>
          <w:rPr>
            <w:rStyle w:val="Hyperlink"/>
            <w:bCs/>
            <w:b/>
            <w:lang w:val="en"/>
          </w:rPr>
          <w:t xml:space="preserve">TG-3.1</w:t>
        </w:r>
      </w:hyperlink>
      <w:r>
        <w:rPr>
          <w:lang w:val="en"/>
        </w:rPr>
        <w:t xml:space="preserve"> </w:t>
      </w:r>
      <w:r>
        <w:rPr>
          <w:lang w:val="en"/>
        </w:rPr>
        <w:t xml:space="preserve">— ecosystem condition account structure (SEEA EA Table 5.2).</w:t>
      </w:r>
    </w:p>
    <w:p>
      <w:pPr>
        <w:numPr>
          <w:ilvl w:val="0"/>
          <w:numId w:val="1003"/>
        </w:numPr>
        <w:pStyle w:val="Compact"/>
      </w:pPr>
      <w:r>
        <w:rPr>
          <w:lang w:val="en"/>
        </w:rPr>
        <w:t xml:space="preserve">¶4</w:t>
      </w:r>
      <w:r>
        <w:rPr>
          <w:lang w:val="en"/>
        </w:rPr>
        <w:t xml:space="preserve"> </w:t>
      </w:r>
      <w:hyperlink r:id="rId29">
        <w:r>
          <w:rPr>
            <w:rStyle w:val="Hyperlink"/>
            <w:bCs/>
            <w:b/>
            <w:lang w:val="en"/>
          </w:rPr>
          <w:t xml:space="preserve">TG-4.4</w:t>
        </w:r>
      </w:hyperlink>
      <w:r>
        <w:rPr>
          <w:lang w:val="en"/>
        </w:rPr>
        <w:t xml:space="preserve"> </w:t>
      </w:r>
      <w:r>
        <w:rPr>
          <w:lang w:val="en"/>
        </w:rPr>
        <w:t xml:space="preserve">— citizen-science collection protocols. TG-4.9 governs indicator construction from such data.</w:t>
      </w:r>
    </w:p>
    <w:p>
      <w:pPr>
        <w:numPr>
          <w:ilvl w:val="0"/>
          <w:numId w:val="1003"/>
        </w:numPr>
        <w:pStyle w:val="Compact"/>
      </w:pPr>
      <w:r>
        <w:rPr>
          <w:lang w:val="en"/>
        </w:rPr>
        <w:t xml:space="preserve">¶5</w:t>
      </w:r>
      <w:r>
        <w:rPr>
          <w:lang w:val="en"/>
        </w:rPr>
        <w:t xml:space="preserve"> </w:t>
      </w:r>
      <w:hyperlink r:id="rId28">
        <w:r>
          <w:rPr>
            <w:rStyle w:val="Hyperlink"/>
            <w:bCs/>
            <w:b/>
            <w:lang w:val="en"/>
          </w:rPr>
          <w:t xml:space="preserve">TG-4.8</w:t>
        </w:r>
      </w:hyperlink>
      <w:r>
        <w:rPr>
          <w:lang w:val="en"/>
        </w:rPr>
        <w:t xml:space="preserve"> </w:t>
      </w:r>
      <w:r>
        <w:rPr>
          <w:lang w:val="en"/>
        </w:rPr>
        <w:t xml:space="preserve">— canonical for reference-condition framework, indicator selection criteria, variable → indicator → index pathway, and rescaling formulas. TG-4.8 also provides the abiotic envelope for joint attribution analysis.</w:t>
      </w:r>
    </w:p>
    <w:p>
      <w:r>
        <w:pict>
          <v:rect style="width:0;height:1.5pt" o:hralign="center" o:hrstd="t" o:hr="t"/>
        </w:pict>
      </w:r>
    </w:p>
    <w:bookmarkStart w:id="46"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6"/>
    <w:bookmarkStart w:id="49" w:name="X28c41cd25077b984978cf30a1d1973b375e72ff"/>
    <w:p>
      <w:pPr>
        <w:pStyle w:val="Heading3"/>
      </w:pPr>
      <w:r>
        <w:rPr>
          <w:lang w:val="en"/>
        </w:rPr>
        <w:t xml:space="preserve">3.1</w:t>
      </w:r>
      <w:r>
        <w:rPr>
          <w:lang w:val="en"/>
        </w:rPr>
        <w:t xml:space="preserve"> </w:t>
      </w:r>
      <w:r>
        <w:rPr>
          <w:lang w:val="en"/>
        </w:rPr>
        <w:t xml:space="preserve">Conceptual Framework</w:t>
      </w:r>
    </w:p>
    <w:p>
      <w:pPr>
        <w:pStyle w:val="FirstParagraph"/>
      </w:pPr>
      <w:hyperlink w:anchor="X28c41cd25077b984978cf30a1d1973b375e72ff">
        <w:r>
          <w:drawing>
            <wp:inline>
              <wp:extent cx="152400" cy="152400"/>
              <wp:effectExtent b="0" l="0" r="0" t="0"/>
              <wp:docPr descr="" title="" id="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Conceptual Framework”</w:t>
        </w:r>
      </w:hyperlink>
    </w:p>
    <w:bookmarkEnd w:id="49"/>
    <w:bookmarkStart w:id="52" w:name="X6e65c90671d78e66d13c13da77c336a7b57786f"/>
    <w:p>
      <w:pPr>
        <w:pStyle w:val="Heading4"/>
      </w:pPr>
      <w:r>
        <w:rPr>
          <w:lang w:val="en"/>
        </w:rPr>
        <w:t xml:space="preserve">3.1.1</w:t>
      </w:r>
      <w:r>
        <w:rPr>
          <w:lang w:val="en"/>
        </w:rPr>
        <w:t xml:space="preserve"> </w:t>
      </w:r>
      <w:r>
        <w:rPr>
          <w:lang w:val="en"/>
        </w:rPr>
        <w:t xml:space="preserve">Defining Biological Condition</w:t>
      </w:r>
    </w:p>
    <w:p>
      <w:pPr>
        <w:pStyle w:val="FirstParagraph"/>
      </w:pPr>
      <w:hyperlink w:anchor="X6e65c90671d78e66d13c13da77c336a7b57786f">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Defining Biological Condition”</w:t>
        </w:r>
      </w:hyperlink>
    </w:p>
    <w:bookmarkEnd w:id="52"/>
    <w:p>
      <w:pPr>
        <w:pStyle w:val="BodyText"/>
      </w:pPr>
      <w:r>
        <w:rPr>
          <w:lang w:val="en"/>
        </w:rPr>
        <w:t xml:space="preserve">¶1</w:t>
      </w:r>
      <w:r>
        <w:rPr>
          <w:lang w:val="en"/>
        </w:rPr>
        <w:t xml:space="preserve"> </w:t>
      </w:r>
      <w:r>
        <w:rPr>
          <w:lang w:val="en"/>
        </w:rPr>
        <w:t xml:space="preserve">Biological condition is the biotic state of an ecosystem (composition, abundance, biomass, diversity, functional integrity) relative to a reference condition.</w:t>
      </w:r>
      <w:hyperlink w:anchor="user-content-fn-1">
        <w:r>
          <w:rPr>
            <w:rStyle w:val="Hyperlink"/>
            <w:vertAlign w:val="superscript"/>
            <w:lang w:val="en"/>
          </w:rPr>
          <w:t xml:space="preserve">1</w:t>
        </w:r>
      </w:hyperlink>
      <w:r>
        <w:rPr>
          <w:lang w:val="en"/>
        </w:rPr>
        <w:t xml:space="preserve"> </w:t>
      </w:r>
      <w:r>
        <w:rPr>
          <w:lang w:val="en"/>
        </w:rPr>
        <w:t xml:space="preserve">It is a subset of biodiversity and narrower than ecological integrity — an operational, measurable construct yielding standardised indicators for national accounts.</w:t>
      </w:r>
      <w:hyperlink w:anchor="user-content-fn-3">
        <w:r>
          <w:rPr>
            <w:rStyle w:val="Hyperlink"/>
            <w:vertAlign w:val="superscript"/>
            <w:lang w:val="en"/>
          </w:rPr>
          <w:t xml:space="preserve">2</w:t>
        </w:r>
      </w:hyperlink>
      <w:r>
        <w:rPr>
          <w:lang w:val="en"/>
        </w:rPr>
        <w:t xml:space="preserve"> </w:t>
      </w:r>
      <w:r>
        <w:rPr>
          <w:lang w:val="en"/>
        </w:rPr>
        <w:t xml:space="preserve">The abiotic component (physical and chemical condition) is in</w:t>
      </w:r>
      <w:r>
        <w:rPr>
          <w:lang w:val="en"/>
        </w:rPr>
        <w:t xml:space="preserve"> </w:t>
      </w:r>
      <w:hyperlink r:id="rId28">
        <w:r>
          <w:rPr>
            <w:rStyle w:val="Hyperlink"/>
            <w:bCs/>
            <w:b/>
            <w:lang w:val="en"/>
          </w:rPr>
          <w:t xml:space="preserve">TG-4.8</w:t>
        </w:r>
      </w:hyperlink>
      <w:r>
        <w:rPr>
          <w:lang w:val="en"/>
        </w:rPr>
        <w:t xml:space="preserve">.</w:t>
      </w:r>
    </w:p>
    <w:bookmarkStart w:id="55" w:name="X0aa50f187c345bf8cf287ab8981c11c714a5204"/>
    <w:p>
      <w:pPr>
        <w:pStyle w:val="Heading4"/>
      </w:pPr>
      <w:r>
        <w:rPr>
          <w:lang w:val="en"/>
        </w:rPr>
        <w:t xml:space="preserve">3.1.2</w:t>
      </w:r>
      <w:r>
        <w:rPr>
          <w:lang w:val="en"/>
        </w:rPr>
        <w:t xml:space="preserve"> </w:t>
      </w:r>
      <w:r>
        <w:rPr>
          <w:lang w:val="en"/>
        </w:rPr>
        <w:t xml:space="preserve">SEEA EA Ecosystem Condition Typology (ECT)</w:t>
      </w:r>
    </w:p>
    <w:p>
      <w:pPr>
        <w:pStyle w:val="FirstParagraph"/>
      </w:pPr>
      <w:hyperlink w:anchor="X0aa50f187c345bf8cf287ab8981c11c714a5204">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“3.1.2 SEEA EA Ecosystem Condition Typology (ECT)”</w:t>
        </w:r>
      </w:hyperlink>
    </w:p>
    <w:bookmarkEnd w:id="55"/>
    <w:p>
      <w:pPr>
        <w:pStyle w:val="BodyText"/>
      </w:pPr>
      <w:r>
        <w:rPr>
          <w:lang w:val="en"/>
        </w:rPr>
        <w:t xml:space="preserve">¶1</w:t>
      </w:r>
      <w:r>
        <w:rPr>
          <w:lang w:val="en"/>
        </w:rPr>
        <w:t xml:space="preserve"> </w:t>
      </w:r>
      <w:r>
        <w:rPr>
          <w:lang w:val="en"/>
        </w:rPr>
        <w:t xml:space="preserve">The SEEA EA organises ecosystem condition variables into the Ecosystem Condition Typology (ECT), a hierarchical classification of condition characteristics.</w:t>
      </w:r>
      <w:hyperlink w:anchor="user-content-fn-4">
        <w:r>
          <w:rPr>
            <w:rStyle w:val="Hyperlink"/>
            <w:vertAlign w:val="superscript"/>
            <w:lang w:val="en"/>
          </w:rPr>
          <w:t xml:space="preserve">3</w:t>
        </w:r>
      </w:hyperlink>
      <w:r>
        <w:rPr>
          <w:lang w:val="en"/>
        </w:rPr>
        <w:t xml:space="preserve"> </w:t>
      </w:r>
      <w:r>
        <w:rPr>
          <w:lang w:val="en"/>
        </w:rPr>
        <w:t xml:space="preserve">The ECT groups condition characteristics into three groups and six classes: Group A (abiotic), with classes A1 Physical state and A2 Chemical state; Group B (biotic), with classes B1 Compositional state, B2 Structural state and B3 Functional state; and Group C (landscape), with class C1 Landscape and seascape characteristics. Biological condition variables fall in Group B and, where they describe the biotic seascape, in class C1. Table 3.1.2.1 below summarises the ECT classes within which biological condition variables primarily fall.</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ECT class</w:t>
            </w:r>
          </w:p>
        </w:tc>
        <w:tc>
          <w:tcPr/>
          <w:p>
            <w:pPr>
              <w:pStyle w:val="Compact"/>
              <w:jc w:val="left"/>
            </w:pPr>
            <w:r>
              <w:rPr>
                <w:lang w:val="en"/>
              </w:rPr>
              <w:t xml:space="preserve">Description</w:t>
            </w:r>
          </w:p>
        </w:tc>
      </w:tr>
      <w:tr>
        <w:tc>
          <w:tcPr/>
          <w:p>
            <w:pPr>
              <w:pStyle w:val="Compact"/>
              <w:jc w:val="left"/>
            </w:pPr>
            <w:r>
              <w:rPr>
                <w:bCs/>
                <w:b/>
                <w:lang w:val="en"/>
              </w:rPr>
              <w:t xml:space="preserve">ECT Class B1 — Compositional state</w:t>
            </w:r>
          </w:p>
        </w:tc>
        <w:tc>
          <w:tcPr/>
          <w:p>
            <w:pPr>
              <w:pStyle w:val="Compact"/>
              <w:jc w:val="left"/>
            </w:pPr>
            <w:r>
              <w:rPr>
                <w:lang w:val="en"/>
              </w:rPr>
              <w:t xml:space="preserve">Species composition, taxonomic richness, and presence/absence of indicator taxa. This class records which taxa are present in the ecosystem.</w:t>
            </w:r>
          </w:p>
        </w:tc>
      </w:tr>
      <w:tr>
        <w:tc>
          <w:tcPr/>
          <w:p>
            <w:pPr>
              <w:pStyle w:val="Compact"/>
              <w:jc w:val="left"/>
            </w:pPr>
            <w:r>
              <w:rPr>
                <w:bCs/>
                <w:b/>
                <w:lang w:val="en"/>
              </w:rPr>
              <w:t xml:space="preserve">ECT Class B2 — Structural state</w:t>
            </w:r>
          </w:p>
        </w:tc>
        <w:tc>
          <w:tcPr/>
          <w:p>
            <w:pPr>
              <w:pStyle w:val="Compact"/>
              <w:jc w:val="left"/>
            </w:pPr>
            <w:r>
              <w:rPr>
                <w:lang w:val="en"/>
              </w:rPr>
              <w:t xml:space="preserve">Species abundance, biomass, population density, and size-structure metrics. This class records the number of organisms present and their physical characteristics.</w:t>
            </w:r>
          </w:p>
        </w:tc>
      </w:tr>
      <w:tr>
        <w:tc>
          <w:tcPr/>
          <w:p>
            <w:pPr>
              <w:pStyle w:val="Compact"/>
              <w:jc w:val="left"/>
            </w:pPr>
            <w:r>
              <w:rPr>
                <w:bCs/>
                <w:b/>
                <w:lang w:val="en"/>
              </w:rPr>
              <w:t xml:space="preserve">ECT Class B3 — Functional state</w:t>
            </w:r>
          </w:p>
        </w:tc>
        <w:tc>
          <w:tcPr/>
          <w:p>
            <w:pPr>
              <w:pStyle w:val="Compact"/>
              <w:jc w:val="left"/>
            </w:pPr>
            <w:r>
              <w:rPr>
                <w:lang w:val="en"/>
              </w:rPr>
              <w:t xml:space="preserve">Biotic integrity indices, productivity indicators (e.g., litterfall biomass), and trophic structure metrics. This class records biological functioning of the ecosystem.</w:t>
            </w:r>
          </w:p>
        </w:tc>
      </w:tr>
      <w:tr>
        <w:tc>
          <w:tcPr/>
          <w:p>
            <w:pPr>
              <w:pStyle w:val="Compact"/>
              <w:jc w:val="left"/>
            </w:pPr>
            <w:r>
              <w:rPr>
                <w:bCs/>
                <w:b/>
                <w:lang w:val="en"/>
              </w:rPr>
              <w:t xml:space="preserve">ECT Class C1 — Landscape and seascape characteristics</w:t>
            </w:r>
          </w:p>
        </w:tc>
        <w:tc>
          <w:tcPr/>
          <w:p>
            <w:pPr>
              <w:pStyle w:val="Compact"/>
              <w:jc w:val="left"/>
            </w:pPr>
            <w:r>
              <w:rPr>
                <w:lang w:val="en"/>
              </w:rPr>
              <w:t xml:space="preserve">Habitat patch structure, connectivity, fragmentation, and reef geomorphology, where these characteristics reflect the biotic state of the ecosystem (e.g., coral framework integrity, mangrove canopy cover).</w:t>
            </w:r>
          </w:p>
        </w:tc>
      </w:tr>
    </w:tbl>
    <w:p>
      <w:pPr>
        <w:pStyle w:val="BodyText"/>
      </w:pPr>
      <w:r>
        <w:rPr>
          <w:lang w:val="en"/>
        </w:rPr>
        <w:t xml:space="preserve">¶2</w:t>
      </w:r>
      <w:r>
        <w:rPr>
          <w:lang w:val="en"/>
        </w:rPr>
        <w:t xml:space="preserve"> </w:t>
      </w:r>
      <w:r>
        <w:rPr>
          <w:lang w:val="en"/>
        </w:rPr>
        <w:t xml:space="preserve">Physical and chemical condition variables (ECT Classes A1 and A2) are addressed in</w:t>
      </w:r>
      <w:r>
        <w:rPr>
          <w:lang w:val="en"/>
        </w:rPr>
        <w:t xml:space="preserve"> </w:t>
      </w:r>
      <w:hyperlink r:id="rId28">
        <w:r>
          <w:rPr>
            <w:rStyle w:val="Hyperlink"/>
            <w:lang w:val="en"/>
          </w:rPr>
          <w:t xml:space="preserve">TG-4.8</w:t>
        </w:r>
      </w:hyperlink>
      <w:r>
        <w:rPr>
          <w:lang w:val="en"/>
        </w:rPr>
        <w:t xml:space="preserve">. Compilers must classify each biological indicator by its ECT class before entering it in the condition account table.</w:t>
      </w:r>
    </w:p>
    <w:bookmarkStart w:id="58" w:name="X8346230ec222b49d5a6deac84cdeb9fbe4abe5a"/>
    <w:p>
      <w:pPr>
        <w:pStyle w:val="Heading4"/>
      </w:pPr>
      <w:r>
        <w:rPr>
          <w:lang w:val="en"/>
        </w:rPr>
        <w:t xml:space="preserve">3.1.3</w:t>
      </w:r>
      <w:r>
        <w:rPr>
          <w:lang w:val="en"/>
        </w:rPr>
        <w:t xml:space="preserve"> </w:t>
      </w:r>
      <w:r>
        <w:rPr>
          <w:lang w:val="en"/>
        </w:rPr>
        <w:t xml:space="preserve">Reference Condition</w:t>
      </w:r>
    </w:p>
    <w:p>
      <w:pPr>
        <w:pStyle w:val="FirstParagraph"/>
      </w:pPr>
      <w:hyperlink w:anchor="X8346230ec222b49d5a6deac84cdeb9fbe4abe5a">
        <w:r>
          <w:drawing>
            <wp:inline>
              <wp:extent cx="152400" cy="152400"/>
              <wp:effectExtent b="0" l="0" r="0" t="0"/>
              <wp:docPr descr="" title="" id="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“3.1.3 Reference Condition”</w:t>
        </w:r>
      </w:hyperlink>
    </w:p>
    <w:bookmarkEnd w:id="58"/>
    <w:p>
      <w:pPr>
        <w:pStyle w:val="BodyText"/>
      </w:pPr>
      <w:r>
        <w:rPr>
          <w:lang w:val="en"/>
        </w:rPr>
        <w:t xml:space="preserve">¶1</w:t>
      </w:r>
      <w:r>
        <w:rPr>
          <w:lang w:val="en"/>
        </w:rPr>
        <w:t xml:space="preserve"> </w:t>
      </w:r>
      <w:r>
        <w:rPr>
          <w:lang w:val="en"/>
        </w:rPr>
        <w:t xml:space="preserve">The four-approach reference-condition framework (historical, reference site, modelled, regulatory target) and the</w:t>
      </w:r>
      <w:r>
        <w:rPr>
          <w:lang w:val="en"/>
        </w:rPr>
        <w:t xml:space="preserve"> </w:t>
      </w:r>
      <w:r>
        <w:rPr>
          <w:bCs/>
          <w:b/>
          <w:lang w:val="en"/>
        </w:rPr>
        <w:t xml:space="preserve">fixed-baseline rule for time-series accounts</w:t>
      </w:r>
      <w:r>
        <w:rPr>
          <w:lang w:val="en"/>
        </w:rPr>
        <w:t xml:space="preserve"> </w:t>
      </w:r>
      <w:r>
        <w:rPr>
          <w:lang w:val="en"/>
        </w:rPr>
        <w:t xml:space="preserve">apply equally to biological and physical condition. See</w:t>
      </w:r>
      <w:r>
        <w:rPr>
          <w:lang w:val="en"/>
        </w:rPr>
        <w:t xml:space="preserve"> </w:t>
      </w:r>
      <w:hyperlink r:id="rId28">
        <w:r>
          <w:rPr>
            <w:rStyle w:val="Hyperlink"/>
            <w:bCs/>
            <w:b/>
            <w:lang w:val="en"/>
          </w:rPr>
          <w:t xml:space="preserve">TG-4.8 Physical Condition Measurement</w:t>
        </w:r>
      </w:hyperlink>
      <w:r>
        <w:rPr>
          <w:lang w:val="en"/>
        </w:rPr>
        <w:t xml:space="preserve"> </w:t>
      </w:r>
      <w:r>
        <w:rPr>
          <w:lang w:val="en"/>
        </w:rPr>
        <w:t xml:space="preserve">§3.1 for the canonical framework.</w:t>
      </w:r>
      <w:hyperlink w:anchor="user-content-fn-5">
        <w:r>
          <w:rPr>
            <w:rStyle w:val="Hyperlink"/>
            <w:vertAlign w:val="superscript"/>
            <w:lang w:val="en"/>
          </w:rPr>
          <w:t xml:space="preserve">4</w:t>
        </w:r>
      </w:hyperlink>
      <w:r>
        <w:rPr>
          <w:lang w:val="en"/>
        </w:rPr>
        <w:t xml:space="preserve"> </w:t>
      </w:r>
      <w:r>
        <w:rPr>
          <w:lang w:val="en"/>
        </w:rPr>
        <w:t xml:space="preserve">Bio-specific reference sources for individual indicators are listed in §3.2.3.</w:t>
      </w:r>
    </w:p>
    <w:bookmarkStart w:id="61" w:name="X10c75337440e21c64b579a29684174bbb4e0dbe"/>
    <w:p>
      <w:pPr>
        <w:pStyle w:val="Heading4"/>
      </w:pPr>
      <w:r>
        <w:rPr>
          <w:lang w:val="en"/>
        </w:rPr>
        <w:t xml:space="preserve">3.1.4</w:t>
      </w:r>
      <w:r>
        <w:rPr>
          <w:lang w:val="en"/>
        </w:rPr>
        <w:t xml:space="preserve"> </w:t>
      </w:r>
      <w:r>
        <w:rPr>
          <w:lang w:val="en"/>
        </w:rPr>
        <w:t xml:space="preserve">Scope Boundaries</w:t>
      </w:r>
    </w:p>
    <w:p>
      <w:pPr>
        <w:pStyle w:val="FirstParagraph"/>
      </w:pPr>
      <w:hyperlink w:anchor="X10c75337440e21c64b579a29684174bbb4e0dbe">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“3.1.4 Scope Boundaries”</w:t>
        </w:r>
      </w:hyperlink>
    </w:p>
    <w:bookmarkEnd w:id="61"/>
    <w:p>
      <w:pPr>
        <w:pStyle w:val="BodyText"/>
      </w:pPr>
      <w:r>
        <w:rPr>
          <w:lang w:val="en"/>
        </w:rPr>
        <w:t xml:space="preserve">¶1</w:t>
      </w:r>
      <w:r>
        <w:rPr>
          <w:lang w:val="en"/>
        </w:rPr>
        <w:t xml:space="preserve"> </w:t>
      </w:r>
      <w:r>
        <w:rPr>
          <w:bCs/>
          <w:b/>
          <w:lang w:val="en"/>
        </w:rPr>
        <w:t xml:space="preserve">Boundary with TG-4.8.</w:t>
      </w:r>
      <w:r>
        <w:rPr>
          <w:lang w:val="en"/>
        </w:rPr>
        <w:t xml:space="preserve"> </w:t>
      </w:r>
      <w:r>
        <w:rPr>
          <w:lang w:val="en"/>
        </w:rPr>
        <w:t xml:space="preserve">Boundary-case variables are assigned by ECT class: e.g., turbidity → TG-4.8 (Class A1), and seagrass shoot density (response to turbidity) → TG-4.9 (Class B2).</w:t>
      </w:r>
    </w:p>
    <w:p>
      <w:pPr>
        <w:pStyle w:val="BodyText"/>
      </w:pPr>
      <w:r>
        <w:rPr>
          <w:lang w:val="en"/>
        </w:rPr>
        <w:t xml:space="preserve">¶2</w:t>
      </w:r>
      <w:r>
        <w:rPr>
          <w:lang w:val="en"/>
        </w:rPr>
        <w:t xml:space="preserve"> </w:t>
      </w:r>
      <w:r>
        <w:rPr>
          <w:bCs/>
          <w:b/>
          <w:lang w:val="en"/>
        </w:rPr>
        <w:t xml:space="preserve">Boundary with TG-4.4.</w:t>
      </w:r>
      <w:r>
        <w:rPr>
          <w:lang w:val="en"/>
        </w:rPr>
        <w:t xml:space="preserve"> </w:t>
      </w:r>
      <w:r>
        <w:rPr>
          <w:lang w:val="en"/>
        </w:rPr>
        <w:t xml:space="preserve">TG-4.4 governs citizen-science collection protocols, and TG-4.9 governs indicator construction from that data.</w:t>
      </w:r>
    </w:p>
    <w:p>
      <w:r>
        <w:pict>
          <v:rect style="width:0;height:1.5pt" o:hralign="center" o:hrstd="t" o:hr="t"/>
        </w:pict>
      </w:r>
    </w:p>
    <w:bookmarkStart w:id="64" w:name="X9a39f3da9c27ab4bb6b084d60306dd296ee5c41"/>
    <w:p>
      <w:pPr>
        <w:pStyle w:val="Heading3"/>
      </w:pPr>
      <w:r>
        <w:rPr>
          <w:lang w:val="en"/>
        </w:rPr>
        <w:t xml:space="preserve">3.2</w:t>
      </w:r>
      <w:r>
        <w:rPr>
          <w:lang w:val="en"/>
        </w:rPr>
        <w:t xml:space="preserve"> </w:t>
      </w:r>
      <w:r>
        <w:rPr>
          <w:lang w:val="en"/>
        </w:rPr>
        <w:t xml:space="preserve">Biological Indicator Selection</w:t>
      </w:r>
    </w:p>
    <w:p>
      <w:pPr>
        <w:pStyle w:val="FirstParagraph"/>
      </w:pPr>
      <w:hyperlink w:anchor="X9a39f3da9c27ab4bb6b084d60306dd296ee5c41">
        <w:r>
          <w:drawing>
            <wp:inline>
              <wp:extent cx="152400" cy="152400"/>
              <wp:effectExtent b="0" l="0" r="0" t="0"/>
              <wp:docPr descr="" title="" id="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Biological Indicator Selection”</w:t>
        </w:r>
      </w:hyperlink>
    </w:p>
    <w:bookmarkEnd w:id="64"/>
    <w:bookmarkStart w:id="67" w:name="X2ce736fbc8b9343e46629ea7fbc8397869b7aa8"/>
    <w:p>
      <w:pPr>
        <w:pStyle w:val="Heading4"/>
      </w:pPr>
      <w:r>
        <w:rPr>
          <w:lang w:val="en"/>
        </w:rPr>
        <w:t xml:space="preserve">3.2.1</w:t>
      </w:r>
      <w:r>
        <w:rPr>
          <w:lang w:val="en"/>
        </w:rPr>
        <w:t xml:space="preserve"> </w:t>
      </w:r>
      <w:r>
        <w:rPr>
          <w:lang w:val="en"/>
        </w:rPr>
        <w:t xml:space="preserve">Selection Criteria and Indicator Framework</w:t>
      </w:r>
    </w:p>
    <w:p>
      <w:pPr>
        <w:pStyle w:val="FirstParagraph"/>
      </w:pPr>
      <w:hyperlink w:anchor="X2ce736fbc8b9343e46629ea7fbc8397869b7aa8">
        <w:r>
          <w:drawing>
            <wp:inline>
              <wp:extent cx="152400" cy="152400"/>
              <wp:effectExtent b="0" l="0" r="0" t="0"/>
              <wp:docPr descr="" title="" id="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“3.2.1 Selection Criteria and Indicator Framework”</w:t>
        </w:r>
      </w:hyperlink>
    </w:p>
    <w:bookmarkEnd w:id="67"/>
    <w:p>
      <w:pPr>
        <w:pStyle w:val="BodyText"/>
      </w:pPr>
      <w:r>
        <w:rPr>
          <w:lang w:val="en"/>
        </w:rPr>
        <w:t xml:space="preserve">¶1</w:t>
      </w:r>
      <w:r>
        <w:rPr>
          <w:lang w:val="en"/>
        </w:rPr>
        <w:t xml:space="preserve"> </w:t>
      </w:r>
      <w:r>
        <w:rPr>
          <w:lang w:val="en"/>
        </w:rPr>
        <w:t xml:space="preserve">The SEEA EA indicator-selection criteria (measurability, ecological relevance, sensitivity to change, data availability) and the variable → indicator → index three-level hierarchy are in</w:t>
      </w:r>
      <w:r>
        <w:rPr>
          <w:lang w:val="en"/>
        </w:rPr>
        <w:t xml:space="preserve"> </w:t>
      </w:r>
      <w:hyperlink r:id="rId28">
        <w:r>
          <w:rPr>
            <w:rStyle w:val="Hyperlink"/>
            <w:bCs/>
            <w:b/>
            <w:lang w:val="en"/>
          </w:rPr>
          <w:t xml:space="preserve">TG-4.8</w:t>
        </w:r>
      </w:hyperlink>
      <w:r>
        <w:rPr>
          <w:lang w:val="en"/>
        </w:rPr>
        <w:t xml:space="preserve"> </w:t>
      </w:r>
      <w:r>
        <w:rPr>
          <w:lang w:val="en"/>
        </w:rPr>
        <w:t xml:space="preserve">§3.2 and apply to biological indicators without modification. Biological selection additionally weights</w:t>
      </w:r>
      <w:r>
        <w:rPr>
          <w:lang w:val="en"/>
        </w:rPr>
        <w:t xml:space="preserve"> </w:t>
      </w:r>
      <w:r>
        <w:rPr>
          <w:bCs/>
          <w:b/>
          <w:lang w:val="en"/>
        </w:rPr>
        <w:t xml:space="preserve">sensitivity to anthropogenic pressures</w:t>
      </w:r>
      <w:r>
        <w:rPr>
          <w:lang w:val="en"/>
        </w:rPr>
        <w:t xml:space="preserve"> </w:t>
      </w:r>
      <w:r>
        <w:rPr>
          <w:lang w:val="en"/>
        </w:rPr>
        <w:t xml:space="preserve">(overfishing, nutrient loading, temperature stress, physical disturbance, invasive species) and</w:t>
      </w:r>
      <w:r>
        <w:rPr>
          <w:lang w:val="en"/>
        </w:rPr>
        <w:t xml:space="preserve"> </w:t>
      </w:r>
      <w:r>
        <w:rPr>
          <w:bCs/>
          <w:b/>
          <w:lang w:val="en"/>
        </w:rPr>
        <w:t xml:space="preserve">interpretability</w:t>
      </w:r>
      <w:r>
        <w:rPr>
          <w:lang w:val="en"/>
        </w:rPr>
        <w:t xml:space="preserve"> </w:t>
      </w:r>
      <w:r>
        <w:rPr>
          <w:lang w:val="en"/>
        </w:rPr>
        <w:t xml:space="preserve">for non-specialist account users. For data-poor contexts, a simpler indicator reliably measured is preferable to a theoretically superior indicator with large sampling uncertainty. Aggregation into composite indices is addressed in</w:t>
      </w:r>
      <w:r>
        <w:rPr>
          <w:lang w:val="en"/>
        </w:rPr>
        <w:t xml:space="preserve"> </w:t>
      </w:r>
      <w:hyperlink r:id="rId34">
        <w:r>
          <w:rPr>
            <w:rStyle w:val="Hyperlink"/>
            <w:lang w:val="en"/>
          </w:rPr>
          <w:t xml:space="preserve">TG-3.1 Asset Accounts</w:t>
        </w:r>
      </w:hyperlink>
      <w:r>
        <w:rPr>
          <w:lang w:val="en"/>
        </w:rPr>
        <w:t xml:space="preserve">.</w:t>
      </w:r>
    </w:p>
    <w:bookmarkStart w:id="70" w:name="X10c67701f350b0fc17916955307928d8e3e36e7"/>
    <w:p>
      <w:pPr>
        <w:pStyle w:val="Heading4"/>
      </w:pPr>
      <w:r>
        <w:rPr>
          <w:lang w:val="en"/>
        </w:rPr>
        <w:t xml:space="preserve">3.2.2</w:t>
      </w:r>
      <w:r>
        <w:rPr>
          <w:lang w:val="en"/>
        </w:rPr>
        <w:t xml:space="preserve"> </w:t>
      </w:r>
      <w:r>
        <w:rPr>
          <w:lang w:val="en"/>
        </w:rPr>
        <w:t xml:space="preserve">Core Indicators by Ecosystem Type</w:t>
      </w:r>
    </w:p>
    <w:p>
      <w:pPr>
        <w:pStyle w:val="FirstParagraph"/>
      </w:pPr>
      <w:hyperlink w:anchor="X10c67701f350b0fc17916955307928d8e3e36e7">
        <w:r>
          <w:drawing>
            <wp:inline>
              <wp:extent cx="152400" cy="152400"/>
              <wp:effectExtent b="0" l="0" r="0" t="0"/>
              <wp:docPr descr="" title="" id="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“3.2.2 Core Indicators by Ecosystem Type”</w:t>
        </w:r>
      </w:hyperlink>
    </w:p>
    <w:bookmarkEnd w:id="70"/>
    <w:p>
      <w:pPr>
        <w:pStyle w:val="BodyText"/>
      </w:pPr>
      <w:r>
        <w:rPr>
          <w:lang w:val="en"/>
        </w:rPr>
        <w:t xml:space="preserve">¶1</w:t>
      </w:r>
      <w:r>
        <w:rPr>
          <w:lang w:val="en"/>
        </w:rPr>
        <w:t xml:space="preserve"> </w:t>
      </w:r>
      <w:r>
        <w:rPr>
          <w:lang w:val="en"/>
        </w:rPr>
        <w:t xml:space="preserve">The following table specifies minimum biological condition indicators by ocean ecosystem type. Indicators are classified by ECT class, assigned a data tier (see §3.4), and linked to their standard measurement protocol.</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rPr>
                <w:lang w:val="en"/>
              </w:rPr>
              <w:t xml:space="preserve">Ecosystem type</w:t>
            </w:r>
          </w:p>
        </w:tc>
        <w:tc>
          <w:tcPr/>
          <w:p>
            <w:pPr>
              <w:pStyle w:val="Compact"/>
              <w:jc w:val="left"/>
            </w:pPr>
            <w:r>
              <w:rPr>
                <w:lang w:val="en"/>
              </w:rPr>
              <w:t xml:space="preserve">Indicator</w:t>
            </w:r>
          </w:p>
        </w:tc>
        <w:tc>
          <w:tcPr/>
          <w:p>
            <w:pPr>
              <w:pStyle w:val="Compact"/>
              <w:jc w:val="left"/>
            </w:pPr>
            <w:r>
              <w:rPr>
                <w:lang w:val="en"/>
              </w:rPr>
              <w:t xml:space="preserve">Variable</w:t>
            </w:r>
          </w:p>
        </w:tc>
        <w:tc>
          <w:tcPr/>
          <w:p>
            <w:pPr>
              <w:pStyle w:val="Compact"/>
              <w:jc w:val="left"/>
            </w:pPr>
            <w:r>
              <w:rPr>
                <w:lang w:val="en"/>
              </w:rPr>
              <w:t xml:space="preserve">Unit</w:t>
            </w:r>
          </w:p>
        </w:tc>
        <w:tc>
          <w:tcPr/>
          <w:p>
            <w:pPr>
              <w:pStyle w:val="Compact"/>
              <w:jc w:val="left"/>
            </w:pPr>
            <w:r>
              <w:rPr>
                <w:lang w:val="en"/>
              </w:rPr>
              <w:t xml:space="preserve">ECT class</w:t>
            </w:r>
          </w:p>
        </w:tc>
        <w:tc>
          <w:tcPr/>
          <w:p>
            <w:pPr>
              <w:pStyle w:val="Compact"/>
              <w:jc w:val="left"/>
            </w:pPr>
            <w:r>
              <w:rPr>
                <w:lang w:val="en"/>
              </w:rPr>
              <w:t xml:space="preserve">Data tier</w:t>
            </w:r>
          </w:p>
        </w:tc>
        <w:tc>
          <w:tcPr/>
          <w:p>
            <w:pPr>
              <w:pStyle w:val="Compact"/>
              <w:jc w:val="left"/>
            </w:pPr>
            <w:r>
              <w:rPr>
                <w:lang w:val="en"/>
              </w:rPr>
              <w:t xml:space="preserve">Protocol reference</w:t>
            </w:r>
          </w:p>
        </w:tc>
      </w:tr>
      <w:tr>
        <w:tc>
          <w:tcPr/>
          <w:p>
            <w:pPr>
              <w:pStyle w:val="Compact"/>
              <w:jc w:val="left"/>
            </w:pPr>
            <w:r>
              <w:rPr>
                <w:lang w:val="en"/>
              </w:rPr>
              <w:t xml:space="preserve">Coral reef</w:t>
            </w:r>
          </w:p>
        </w:tc>
        <w:tc>
          <w:tcPr/>
          <w:p>
            <w:pPr>
              <w:pStyle w:val="Compact"/>
              <w:jc w:val="left"/>
            </w:pPr>
            <w:r>
              <w:rPr>
                <w:lang w:val="en"/>
              </w:rPr>
              <w:t xml:space="preserve">Live coral cover</w:t>
            </w:r>
          </w:p>
        </w:tc>
        <w:tc>
          <w:tcPr/>
          <w:p>
            <w:pPr>
              <w:pStyle w:val="Compact"/>
              <w:jc w:val="left"/>
            </w:pPr>
            <w:r>
              <w:rPr>
                <w:lang w:val="en"/>
              </w:rPr>
              <w:t xml:space="preserve">% substrate covered by living coral</w:t>
            </w:r>
          </w:p>
        </w:tc>
        <w:tc>
          <w:tcPr/>
          <w:p>
            <w:pPr>
              <w:pStyle w:val="Compact"/>
              <w:jc w:val="left"/>
            </w:pPr>
            <w:r>
              <w:rPr>
                <w:lang w:val="en"/>
              </w:rPr>
              <w:t xml:space="preserve">%</w:t>
            </w:r>
          </w:p>
        </w:tc>
        <w:tc>
          <w:tcPr/>
          <w:p>
            <w:pPr>
              <w:pStyle w:val="Compact"/>
              <w:jc w:val="left"/>
            </w:pPr>
            <w:r>
              <w:rPr>
                <w:lang w:val="en"/>
              </w:rPr>
              <w:t xml:space="preserve">B2</w:t>
            </w:r>
          </w:p>
        </w:tc>
        <w:tc>
          <w:tcPr/>
          <w:p>
            <w:pPr>
              <w:pStyle w:val="Compact"/>
              <w:jc w:val="left"/>
            </w:pPr>
            <w:r>
              <w:rPr>
                <w:lang w:val="en"/>
              </w:rPr>
              <w:t xml:space="preserve">1—2</w:t>
            </w:r>
          </w:p>
        </w:tc>
        <w:tc>
          <w:tcPr/>
          <w:p>
            <w:pPr>
              <w:pStyle w:val="Compact"/>
              <w:jc w:val="left"/>
            </w:pPr>
            <w:r>
              <w:rPr>
                <w:lang w:val="en"/>
              </w:rPr>
              <w:t xml:space="preserve">GCRMN, Reef Check</w:t>
            </w:r>
          </w:p>
        </w:tc>
      </w:tr>
      <w:tr>
        <w:tc>
          <w:tcPr/>
          <w:p>
            <w:pPr>
              <w:pStyle w:val="Compact"/>
              <w:jc w:val="left"/>
            </w:pPr>
            <w:r>
              <w:rPr>
                <w:lang w:val="en"/>
              </w:rPr>
              <w:t xml:space="preserve">Coral reef</w:t>
            </w:r>
          </w:p>
        </w:tc>
        <w:tc>
          <w:tcPr/>
          <w:p>
            <w:pPr>
              <w:pStyle w:val="Compact"/>
              <w:jc w:val="left"/>
            </w:pPr>
            <w:r>
              <w:rPr>
                <w:lang w:val="en"/>
              </w:rPr>
              <w:t xml:space="preserve">Coral species richness</w:t>
            </w:r>
          </w:p>
        </w:tc>
        <w:tc>
          <w:tcPr/>
          <w:p>
            <w:pPr>
              <w:pStyle w:val="Compact"/>
              <w:jc w:val="left"/>
            </w:pPr>
            <w:r>
              <w:rPr>
                <w:lang w:val="en"/>
              </w:rPr>
              <w:t xml:space="preserve">Number of coral species per transect</w:t>
            </w:r>
          </w:p>
        </w:tc>
        <w:tc>
          <w:tcPr/>
          <w:p>
            <w:pPr>
              <w:pStyle w:val="Compact"/>
              <w:jc w:val="left"/>
            </w:pPr>
            <w:r>
              <w:rPr>
                <w:lang w:val="en"/>
              </w:rPr>
              <w:t xml:space="preserve">count</w:t>
            </w:r>
          </w:p>
        </w:tc>
        <w:tc>
          <w:tcPr/>
          <w:p>
            <w:pPr>
              <w:pStyle w:val="Compact"/>
              <w:jc w:val="left"/>
            </w:pPr>
            <w:r>
              <w:rPr>
                <w:lang w:val="en"/>
              </w:rPr>
              <w:t xml:space="preserve">B1</w:t>
            </w:r>
          </w:p>
        </w:tc>
        <w:tc>
          <w:tcPr/>
          <w:p>
            <w:pPr>
              <w:pStyle w:val="Compact"/>
              <w:jc w:val="left"/>
            </w:pPr>
            <w:r>
              <w:rPr>
                <w:lang w:val="en"/>
              </w:rPr>
              <w:t xml:space="preserve">1—2</w:t>
            </w:r>
          </w:p>
        </w:tc>
        <w:tc>
          <w:tcPr/>
          <w:p>
            <w:pPr>
              <w:pStyle w:val="Compact"/>
              <w:jc w:val="left"/>
            </w:pPr>
            <w:r>
              <w:rPr>
                <w:lang w:val="en"/>
              </w:rPr>
              <w:t xml:space="preserve">GCRMN</w:t>
            </w:r>
          </w:p>
        </w:tc>
      </w:tr>
      <w:tr>
        <w:tc>
          <w:tcPr/>
          <w:p>
            <w:pPr>
              <w:pStyle w:val="Compact"/>
              <w:jc w:val="left"/>
            </w:pPr>
            <w:r>
              <w:rPr>
                <w:lang w:val="en"/>
              </w:rPr>
              <w:t xml:space="preserve">Coral reef</w:t>
            </w:r>
          </w:p>
        </w:tc>
        <w:tc>
          <w:tcPr/>
          <w:p>
            <w:pPr>
              <w:pStyle w:val="Compact"/>
              <w:jc w:val="left"/>
            </w:pPr>
            <w:r>
              <w:rPr>
                <w:lang w:val="en"/>
              </w:rPr>
              <w:t xml:space="preserve">Coral bleaching extent</w:t>
            </w:r>
          </w:p>
        </w:tc>
        <w:tc>
          <w:tcPr/>
          <w:p>
            <w:pPr>
              <w:pStyle w:val="Compact"/>
              <w:jc w:val="left"/>
            </w:pPr>
            <w:r>
              <w:rPr>
                <w:lang w:val="en"/>
              </w:rPr>
              <w:t xml:space="preserve">% of colonies bleached</w:t>
            </w:r>
          </w:p>
        </w:tc>
        <w:tc>
          <w:tcPr/>
          <w:p>
            <w:pPr>
              <w:pStyle w:val="Compact"/>
              <w:jc w:val="left"/>
            </w:pPr>
            <w:r>
              <w:rPr>
                <w:lang w:val="en"/>
              </w:rPr>
              <w:t xml:space="preserve">%</w:t>
            </w:r>
          </w:p>
        </w:tc>
        <w:tc>
          <w:tcPr/>
          <w:p>
            <w:pPr>
              <w:pStyle w:val="Compact"/>
              <w:jc w:val="left"/>
            </w:pPr>
            <w:r>
              <w:rPr>
                <w:lang w:val="en"/>
              </w:rPr>
              <w:t xml:space="preserve">B2</w:t>
            </w:r>
          </w:p>
        </w:tc>
        <w:tc>
          <w:tcPr/>
          <w:p>
            <w:pPr>
              <w:pStyle w:val="Compact"/>
              <w:jc w:val="left"/>
            </w:pPr>
            <w:r>
              <w:rPr>
                <w:lang w:val="en"/>
              </w:rPr>
              <w:t xml:space="preserve">1—2</w:t>
            </w:r>
          </w:p>
        </w:tc>
        <w:tc>
          <w:tcPr/>
          <w:p>
            <w:pPr>
              <w:pStyle w:val="Compact"/>
              <w:jc w:val="left"/>
            </w:pPr>
            <w:r>
              <w:rPr>
                <w:lang w:val="en"/>
              </w:rPr>
              <w:t xml:space="preserve">CoralWatch, Reef Check</w:t>
            </w:r>
          </w:p>
        </w:tc>
      </w:tr>
      <w:tr>
        <w:tc>
          <w:tcPr/>
          <w:p>
            <w:pPr>
              <w:pStyle w:val="Compact"/>
              <w:jc w:val="left"/>
            </w:pPr>
            <w:r>
              <w:rPr>
                <w:lang w:val="en"/>
              </w:rPr>
              <w:t xml:space="preserve">Coral reef</w:t>
            </w:r>
          </w:p>
        </w:tc>
        <w:tc>
          <w:tcPr/>
          <w:p>
            <w:pPr>
              <w:pStyle w:val="Compact"/>
              <w:jc w:val="left"/>
            </w:pPr>
            <w:r>
              <w:rPr>
                <w:lang w:val="en"/>
              </w:rPr>
              <w:t xml:space="preserve">Reef fish biomass</w:t>
            </w:r>
          </w:p>
        </w:tc>
        <w:tc>
          <w:tcPr/>
          <w:p>
            <w:pPr>
              <w:pStyle w:val="Compact"/>
              <w:jc w:val="left"/>
            </w:pPr>
            <w:r>
              <w:rPr>
                <w:lang w:val="en"/>
              </w:rPr>
              <w:t xml:space="preserve">Total fish biomass per area</w:t>
            </w:r>
          </w:p>
        </w:tc>
        <w:tc>
          <w:tcPr/>
          <w:p>
            <w:pPr>
              <w:pStyle w:val="Compact"/>
              <w:jc w:val="left"/>
            </w:pPr>
            <w:r>
              <w:rPr>
                <w:lang w:val="en"/>
              </w:rPr>
              <w:t xml:space="preserve">g/m²</w:t>
            </w:r>
          </w:p>
        </w:tc>
        <w:tc>
          <w:tcPr/>
          <w:p>
            <w:pPr>
              <w:pStyle w:val="Compact"/>
              <w:jc w:val="left"/>
            </w:pPr>
            <w:r>
              <w:rPr>
                <w:lang w:val="en"/>
              </w:rPr>
              <w:t xml:space="preserve">B2</w:t>
            </w:r>
          </w:p>
        </w:tc>
        <w:tc>
          <w:tcPr/>
          <w:p>
            <w:pPr>
              <w:pStyle w:val="Compact"/>
              <w:jc w:val="left"/>
            </w:pPr>
            <w:r>
              <w:rPr>
                <w:lang w:val="en"/>
              </w:rPr>
              <w:t xml:space="preserve">1—2</w:t>
            </w:r>
          </w:p>
        </w:tc>
        <w:tc>
          <w:tcPr/>
          <w:p>
            <w:pPr>
              <w:pStyle w:val="Compact"/>
              <w:jc w:val="left"/>
            </w:pPr>
            <w:r>
              <w:rPr>
                <w:lang w:val="en"/>
              </w:rPr>
              <w:t xml:space="preserve">UVC belt transect, BRUVS</w:t>
            </w:r>
          </w:p>
        </w:tc>
      </w:tr>
      <w:tr>
        <w:tc>
          <w:tcPr/>
          <w:p>
            <w:pPr>
              <w:pStyle w:val="Compact"/>
              <w:jc w:val="left"/>
            </w:pPr>
            <w:r>
              <w:rPr>
                <w:lang w:val="en"/>
              </w:rPr>
              <w:t xml:space="preserve">Coral reef</w:t>
            </w:r>
          </w:p>
        </w:tc>
        <w:tc>
          <w:tcPr/>
          <w:p>
            <w:pPr>
              <w:pStyle w:val="Compact"/>
              <w:jc w:val="left"/>
            </w:pPr>
            <w:r>
              <w:rPr>
                <w:lang w:val="en"/>
              </w:rPr>
              <w:t xml:space="preserve">Non-indigenous species (NIS) presence</w:t>
            </w:r>
          </w:p>
        </w:tc>
        <w:tc>
          <w:tcPr/>
          <w:p>
            <w:pPr>
              <w:pStyle w:val="Compact"/>
              <w:jc w:val="left"/>
            </w:pPr>
            <w:r>
              <w:rPr>
                <w:lang w:val="en"/>
              </w:rPr>
              <w:t xml:space="preserve">Presence/absence or % cover</w:t>
            </w:r>
          </w:p>
        </w:tc>
        <w:tc>
          <w:tcPr/>
          <w:p>
            <w:pPr>
              <w:pStyle w:val="Compact"/>
              <w:jc w:val="left"/>
            </w:pPr>
            <w:r>
              <w:rPr>
                <w:lang w:val="en"/>
              </w:rPr>
              <w:t xml:space="preserve">binary / %</w:t>
            </w:r>
          </w:p>
        </w:tc>
        <w:tc>
          <w:tcPr/>
          <w:p>
            <w:pPr>
              <w:pStyle w:val="Compact"/>
              <w:jc w:val="left"/>
            </w:pPr>
            <w:r>
              <w:rPr>
                <w:lang w:val="en"/>
              </w:rPr>
              <w:t xml:space="preserve">B1</w:t>
            </w:r>
          </w:p>
        </w:tc>
        <w:tc>
          <w:tcPr/>
          <w:p>
            <w:pPr>
              <w:pStyle w:val="Compact"/>
              <w:jc w:val="left"/>
            </w:pPr>
            <w:r>
              <w:rPr>
                <w:lang w:val="en"/>
              </w:rPr>
              <w:t xml:space="preserve">1—3</w:t>
            </w:r>
          </w:p>
        </w:tc>
        <w:tc>
          <w:tcPr/>
          <w:p>
            <w:pPr>
              <w:pStyle w:val="Compact"/>
              <w:jc w:val="left"/>
            </w:pPr>
            <w:r>
              <w:rPr>
                <w:lang w:val="en"/>
              </w:rPr>
              <w:t xml:space="preserve">GCRMN, iNaturalist</w:t>
            </w:r>
          </w:p>
        </w:tc>
      </w:tr>
      <w:tr>
        <w:tc>
          <w:tcPr/>
          <w:p>
            <w:pPr>
              <w:pStyle w:val="Compact"/>
              <w:jc w:val="left"/>
            </w:pPr>
            <w:r>
              <w:rPr>
                <w:lang w:val="en"/>
              </w:rPr>
              <w:t xml:space="preserve">Seagrass meadow</w:t>
            </w:r>
          </w:p>
        </w:tc>
        <w:tc>
          <w:tcPr/>
          <w:p>
            <w:pPr>
              <w:pStyle w:val="Compact"/>
              <w:jc w:val="left"/>
            </w:pPr>
            <w:r>
              <w:rPr>
                <w:lang w:val="en"/>
              </w:rPr>
              <w:t xml:space="preserve">Seagrass cover</w:t>
            </w:r>
          </w:p>
        </w:tc>
        <w:tc>
          <w:tcPr/>
          <w:p>
            <w:pPr>
              <w:pStyle w:val="Compact"/>
              <w:jc w:val="left"/>
            </w:pPr>
            <w:r>
              <w:rPr>
                <w:lang w:val="en"/>
              </w:rPr>
              <w:t xml:space="preserve">% substrate covered by seagrass</w:t>
            </w:r>
          </w:p>
        </w:tc>
        <w:tc>
          <w:tcPr/>
          <w:p>
            <w:pPr>
              <w:pStyle w:val="Compact"/>
              <w:jc w:val="left"/>
            </w:pPr>
            <w:r>
              <w:rPr>
                <w:lang w:val="en"/>
              </w:rPr>
              <w:t xml:space="preserve">%</w:t>
            </w:r>
          </w:p>
        </w:tc>
        <w:tc>
          <w:tcPr/>
          <w:p>
            <w:pPr>
              <w:pStyle w:val="Compact"/>
              <w:jc w:val="left"/>
            </w:pPr>
            <w:r>
              <w:rPr>
                <w:lang w:val="en"/>
              </w:rPr>
              <w:t xml:space="preserve">B2</w:t>
            </w:r>
          </w:p>
        </w:tc>
        <w:tc>
          <w:tcPr/>
          <w:p>
            <w:pPr>
              <w:pStyle w:val="Compact"/>
              <w:jc w:val="left"/>
            </w:pPr>
            <w:r>
              <w:rPr>
                <w:lang w:val="en"/>
              </w:rPr>
              <w:t xml:space="preserve">1—2</w:t>
            </w:r>
          </w:p>
        </w:tc>
        <w:tc>
          <w:tcPr/>
          <w:p>
            <w:pPr>
              <w:pStyle w:val="Compact"/>
              <w:jc w:val="left"/>
            </w:pPr>
            <w:r>
              <w:rPr>
                <w:lang w:val="en"/>
              </w:rPr>
              <w:t xml:space="preserve">SeagrassNet</w:t>
            </w:r>
          </w:p>
        </w:tc>
      </w:tr>
      <w:tr>
        <w:tc>
          <w:tcPr/>
          <w:p>
            <w:pPr>
              <w:pStyle w:val="Compact"/>
              <w:jc w:val="left"/>
            </w:pPr>
            <w:r>
              <w:rPr>
                <w:lang w:val="en"/>
              </w:rPr>
              <w:t xml:space="preserve">Seagrass meadow</w:t>
            </w:r>
          </w:p>
        </w:tc>
        <w:tc>
          <w:tcPr/>
          <w:p>
            <w:pPr>
              <w:pStyle w:val="Compact"/>
              <w:jc w:val="left"/>
            </w:pPr>
            <w:r>
              <w:rPr>
                <w:lang w:val="en"/>
              </w:rPr>
              <w:t xml:space="preserve">Shoot density</w:t>
            </w:r>
          </w:p>
        </w:tc>
        <w:tc>
          <w:tcPr/>
          <w:p>
            <w:pPr>
              <w:pStyle w:val="Compact"/>
              <w:jc w:val="left"/>
            </w:pPr>
            <w:r>
              <w:rPr>
                <w:lang w:val="en"/>
              </w:rPr>
              <w:t xml:space="preserve">Shoots per unit area</w:t>
            </w:r>
          </w:p>
        </w:tc>
        <w:tc>
          <w:tcPr/>
          <w:p>
            <w:pPr>
              <w:pStyle w:val="Compact"/>
              <w:jc w:val="left"/>
            </w:pPr>
            <w:r>
              <w:rPr>
                <w:lang w:val="en"/>
              </w:rPr>
              <w:t xml:space="preserve">shoots/m²</w:t>
            </w:r>
          </w:p>
        </w:tc>
        <w:tc>
          <w:tcPr/>
          <w:p>
            <w:pPr>
              <w:pStyle w:val="Compact"/>
              <w:jc w:val="left"/>
            </w:pPr>
            <w:r>
              <w:rPr>
                <w:lang w:val="en"/>
              </w:rPr>
              <w:t xml:space="preserve">B2</w:t>
            </w:r>
          </w:p>
        </w:tc>
        <w:tc>
          <w:tcPr/>
          <w:p>
            <w:pPr>
              <w:pStyle w:val="Compact"/>
              <w:jc w:val="left"/>
            </w:pPr>
            <w:r>
              <w:rPr>
                <w:lang w:val="en"/>
              </w:rPr>
              <w:t xml:space="preserve">1—2</w:t>
            </w:r>
          </w:p>
        </w:tc>
        <w:tc>
          <w:tcPr/>
          <w:p>
            <w:pPr>
              <w:pStyle w:val="Compact"/>
              <w:jc w:val="left"/>
            </w:pPr>
            <w:r>
              <w:rPr>
                <w:lang w:val="en"/>
              </w:rPr>
              <w:t xml:space="preserve">SeagrassNet</w:t>
            </w:r>
          </w:p>
        </w:tc>
      </w:tr>
      <w:tr>
        <w:tc>
          <w:tcPr/>
          <w:p>
            <w:pPr>
              <w:pStyle w:val="Compact"/>
              <w:jc w:val="left"/>
            </w:pPr>
            <w:r>
              <w:rPr>
                <w:lang w:val="en"/>
              </w:rPr>
              <w:t xml:space="preserve">Seagrass meadow</w:t>
            </w:r>
          </w:p>
        </w:tc>
        <w:tc>
          <w:tcPr/>
          <w:p>
            <w:pPr>
              <w:pStyle w:val="Compact"/>
              <w:jc w:val="left"/>
            </w:pPr>
            <w:r>
              <w:rPr>
                <w:lang w:val="en"/>
              </w:rPr>
              <w:t xml:space="preserve">Species diversity</w:t>
            </w:r>
          </w:p>
        </w:tc>
        <w:tc>
          <w:tcPr/>
          <w:p>
            <w:pPr>
              <w:pStyle w:val="Compact"/>
              <w:jc w:val="left"/>
            </w:pPr>
            <w:r>
              <w:rPr>
                <w:lang w:val="en"/>
              </w:rPr>
              <w:t xml:space="preserve">Shannon diversity index (H’)</w:t>
            </w:r>
          </w:p>
        </w:tc>
        <w:tc>
          <w:tcPr/>
          <w:p>
            <w:pPr>
              <w:pStyle w:val="Compact"/>
              <w:jc w:val="left"/>
            </w:pPr>
            <w:r>
              <w:rPr>
                <w:lang w:val="en"/>
              </w:rPr>
              <w:t xml:space="preserve">dimensionless</w:t>
            </w:r>
          </w:p>
        </w:tc>
        <w:tc>
          <w:tcPr/>
          <w:p>
            <w:pPr>
              <w:pStyle w:val="Compact"/>
              <w:jc w:val="left"/>
            </w:pPr>
            <w:r>
              <w:rPr>
                <w:lang w:val="en"/>
              </w:rPr>
              <w:t xml:space="preserve">B1</w:t>
            </w:r>
          </w:p>
        </w:tc>
        <w:tc>
          <w:tcPr/>
          <w:p>
            <w:pPr>
              <w:pStyle w:val="Compact"/>
              <w:jc w:val="left"/>
            </w:pPr>
            <w:r>
              <w:rPr>
                <w:lang w:val="en"/>
              </w:rPr>
              <w:t xml:space="preserve">1—2</w:t>
            </w:r>
          </w:p>
        </w:tc>
        <w:tc>
          <w:tcPr/>
          <w:p>
            <w:pPr>
              <w:pStyle w:val="Compact"/>
              <w:jc w:val="left"/>
            </w:pPr>
            <w:r>
              <w:rPr>
                <w:lang w:val="en"/>
              </w:rPr>
              <w:t xml:space="preserve">SeagrassNet</w:t>
            </w:r>
          </w:p>
        </w:tc>
      </w:tr>
      <w:tr>
        <w:tc>
          <w:tcPr/>
          <w:p>
            <w:pPr>
              <w:pStyle w:val="Compact"/>
              <w:jc w:val="left"/>
            </w:pPr>
            <w:r>
              <w:rPr>
                <w:lang w:val="en"/>
              </w:rPr>
              <w:t xml:space="preserve">Mangrove</w:t>
            </w:r>
          </w:p>
        </w:tc>
        <w:tc>
          <w:tcPr/>
          <w:p>
            <w:pPr>
              <w:pStyle w:val="Compact"/>
              <w:jc w:val="left"/>
            </w:pPr>
            <w:r>
              <w:rPr>
                <w:lang w:val="en"/>
              </w:rPr>
              <w:t xml:space="preserve">Canopy cover</w:t>
            </w:r>
          </w:p>
        </w:tc>
        <w:tc>
          <w:tcPr/>
          <w:p>
            <w:pPr>
              <w:pStyle w:val="Compact"/>
              <w:jc w:val="left"/>
            </w:pPr>
            <w:r>
              <w:rPr>
                <w:lang w:val="en"/>
              </w:rPr>
              <w:t xml:space="preserve">% canopy closure</w:t>
            </w:r>
          </w:p>
        </w:tc>
        <w:tc>
          <w:tcPr/>
          <w:p>
            <w:pPr>
              <w:pStyle w:val="Compact"/>
              <w:jc w:val="left"/>
            </w:pPr>
            <w:r>
              <w:rPr>
                <w:lang w:val="en"/>
              </w:rPr>
              <w:t xml:space="preserve">%</w:t>
            </w:r>
          </w:p>
        </w:tc>
        <w:tc>
          <w:tcPr/>
          <w:p>
            <w:pPr>
              <w:pStyle w:val="Compact"/>
              <w:jc w:val="left"/>
            </w:pPr>
            <w:r>
              <w:rPr>
                <w:lang w:val="en"/>
              </w:rPr>
              <w:t xml:space="preserve">C1</w:t>
            </w:r>
          </w:p>
        </w:tc>
        <w:tc>
          <w:tcPr/>
          <w:p>
            <w:pPr>
              <w:pStyle w:val="Compact"/>
              <w:jc w:val="left"/>
            </w:pPr>
            <w:r>
              <w:rPr>
                <w:lang w:val="en"/>
              </w:rPr>
              <w:t xml:space="preserve">1—2</w:t>
            </w:r>
          </w:p>
        </w:tc>
        <w:tc>
          <w:tcPr/>
          <w:p>
            <w:pPr>
              <w:pStyle w:val="Compact"/>
              <w:jc w:val="left"/>
            </w:pPr>
            <w:r>
              <w:rPr>
                <w:lang w:val="en"/>
              </w:rPr>
              <w:t xml:space="preserve">National forest inventory, TG-4.1</w:t>
            </w:r>
          </w:p>
        </w:tc>
      </w:tr>
      <w:tr>
        <w:tc>
          <w:tcPr/>
          <w:p>
            <w:pPr>
              <w:pStyle w:val="Compact"/>
              <w:jc w:val="left"/>
            </w:pPr>
            <w:r>
              <w:rPr>
                <w:lang w:val="en"/>
              </w:rPr>
              <w:t xml:space="preserve">Mangrove</w:t>
            </w:r>
          </w:p>
        </w:tc>
        <w:tc>
          <w:tcPr/>
          <w:p>
            <w:pPr>
              <w:pStyle w:val="Compact"/>
              <w:jc w:val="left"/>
            </w:pPr>
            <w:r>
              <w:rPr>
                <w:lang w:val="en"/>
              </w:rPr>
              <w:t xml:space="preserve">Stem density</w:t>
            </w:r>
          </w:p>
        </w:tc>
        <w:tc>
          <w:tcPr/>
          <w:p>
            <w:pPr>
              <w:pStyle w:val="Compact"/>
              <w:jc w:val="left"/>
            </w:pPr>
            <w:r>
              <w:rPr>
                <w:lang w:val="en"/>
              </w:rPr>
              <w:t xml:space="preserve">Stems per unit area</w:t>
            </w:r>
          </w:p>
        </w:tc>
        <w:tc>
          <w:tcPr/>
          <w:p>
            <w:pPr>
              <w:pStyle w:val="Compact"/>
              <w:jc w:val="left"/>
            </w:pPr>
            <w:r>
              <w:rPr>
                <w:lang w:val="en"/>
              </w:rPr>
              <w:t xml:space="preserve">stems/ha</w:t>
            </w:r>
          </w:p>
        </w:tc>
        <w:tc>
          <w:tcPr/>
          <w:p>
            <w:pPr>
              <w:pStyle w:val="Compact"/>
              <w:jc w:val="left"/>
            </w:pPr>
            <w:r>
              <w:rPr>
                <w:lang w:val="en"/>
              </w:rPr>
              <w:t xml:space="preserve">B2</w:t>
            </w:r>
          </w:p>
        </w:tc>
        <w:tc>
          <w:tcPr/>
          <w:p>
            <w:pPr>
              <w:pStyle w:val="Compact"/>
              <w:jc w:val="left"/>
            </w:pPr>
            <w:r>
              <w:rPr>
                <w:lang w:val="en"/>
              </w:rPr>
              <w:t xml:space="preserve">1—2</w:t>
            </w:r>
          </w:p>
        </w:tc>
        <w:tc>
          <w:tcPr/>
          <w:p>
            <w:pPr>
              <w:pStyle w:val="Compact"/>
              <w:jc w:val="left"/>
            </w:pPr>
            <w:r>
              <w:rPr>
                <w:lang w:val="en"/>
              </w:rPr>
              <w:t xml:space="preserve">National forest inventory</w:t>
            </w:r>
          </w:p>
        </w:tc>
      </w:tr>
      <w:tr>
        <w:tc>
          <w:tcPr/>
          <w:p>
            <w:pPr>
              <w:pStyle w:val="Compact"/>
              <w:jc w:val="left"/>
            </w:pPr>
            <w:r>
              <w:rPr>
                <w:lang w:val="en"/>
              </w:rPr>
              <w:t xml:space="preserve">Mangrove</w:t>
            </w:r>
          </w:p>
        </w:tc>
        <w:tc>
          <w:tcPr/>
          <w:p>
            <w:pPr>
              <w:pStyle w:val="Compact"/>
              <w:jc w:val="left"/>
            </w:pPr>
            <w:r>
              <w:rPr>
                <w:lang w:val="en"/>
              </w:rPr>
              <w:t xml:space="preserve">Litterfall biomass (productivity proxy)</w:t>
            </w:r>
          </w:p>
        </w:tc>
        <w:tc>
          <w:tcPr/>
          <w:p>
            <w:pPr>
              <w:pStyle w:val="Compact"/>
              <w:jc w:val="left"/>
            </w:pPr>
            <w:r>
              <w:rPr>
                <w:lang w:val="en"/>
              </w:rPr>
              <w:t xml:space="preserve">Dry weight litter per area per time</w:t>
            </w:r>
          </w:p>
        </w:tc>
        <w:tc>
          <w:tcPr/>
          <w:p>
            <w:pPr>
              <w:pStyle w:val="Compact"/>
              <w:jc w:val="left"/>
            </w:pPr>
            <w:r>
              <w:rPr>
                <w:lang w:val="en"/>
              </w:rPr>
              <w:t xml:space="preserve">g/m²/yr</w:t>
            </w:r>
          </w:p>
        </w:tc>
        <w:tc>
          <w:tcPr/>
          <w:p>
            <w:pPr>
              <w:pStyle w:val="Compact"/>
              <w:jc w:val="left"/>
            </w:pPr>
            <w:r>
              <w:rPr>
                <w:lang w:val="en"/>
              </w:rPr>
              <w:t xml:space="preserve">B3</w:t>
            </w:r>
          </w:p>
        </w:tc>
        <w:tc>
          <w:tcPr/>
          <w:p>
            <w:pPr>
              <w:pStyle w:val="Compact"/>
              <w:jc w:val="left"/>
            </w:pPr>
            <w:r>
              <w:rPr>
                <w:lang w:val="en"/>
              </w:rPr>
              <w:t xml:space="preserve">1—2</w:t>
            </w:r>
          </w:p>
        </w:tc>
        <w:tc>
          <w:tcPr/>
          <w:p>
            <w:pPr>
              <w:pStyle w:val="Compact"/>
              <w:jc w:val="left"/>
            </w:pPr>
            <w:r>
              <w:rPr>
                <w:lang w:val="en"/>
              </w:rPr>
              <w:t xml:space="preserve">Plot-based litterfall traps</w:t>
            </w:r>
          </w:p>
        </w:tc>
      </w:tr>
      <w:tr>
        <w:tc>
          <w:tcPr/>
          <w:p>
            <w:pPr>
              <w:pStyle w:val="Compact"/>
              <w:jc w:val="left"/>
            </w:pPr>
            <w:r>
              <w:rPr>
                <w:lang w:val="en"/>
              </w:rPr>
              <w:t xml:space="preserve">Kelp forest / temperate reef</w:t>
            </w:r>
          </w:p>
        </w:tc>
        <w:tc>
          <w:tcPr/>
          <w:p>
            <w:pPr>
              <w:pStyle w:val="Compact"/>
              <w:jc w:val="left"/>
            </w:pPr>
            <w:r>
              <w:rPr>
                <w:lang w:val="en"/>
              </w:rPr>
              <w:t xml:space="preserve">Kelp canopy cover</w:t>
            </w:r>
          </w:p>
        </w:tc>
        <w:tc>
          <w:tcPr/>
          <w:p>
            <w:pPr>
              <w:pStyle w:val="Compact"/>
              <w:jc w:val="left"/>
            </w:pPr>
            <w:r>
              <w:rPr>
                <w:lang w:val="en"/>
              </w:rPr>
              <w:t xml:space="preserve">% substrate covered by kelp canopy</w:t>
            </w:r>
          </w:p>
        </w:tc>
        <w:tc>
          <w:tcPr/>
          <w:p>
            <w:pPr>
              <w:pStyle w:val="Compact"/>
              <w:jc w:val="left"/>
            </w:pPr>
            <w:r>
              <w:rPr>
                <w:lang w:val="en"/>
              </w:rPr>
              <w:t xml:space="preserve">%</w:t>
            </w:r>
          </w:p>
        </w:tc>
        <w:tc>
          <w:tcPr/>
          <w:p>
            <w:pPr>
              <w:pStyle w:val="Compact"/>
              <w:jc w:val="left"/>
            </w:pPr>
            <w:r>
              <w:rPr>
                <w:lang w:val="en"/>
              </w:rPr>
              <w:t xml:space="preserve">B2</w:t>
            </w:r>
          </w:p>
        </w:tc>
        <w:tc>
          <w:tcPr/>
          <w:p>
            <w:pPr>
              <w:pStyle w:val="Compact"/>
              <w:jc w:val="left"/>
            </w:pPr>
            <w:r>
              <w:rPr>
                <w:lang w:val="en"/>
              </w:rPr>
              <w:t xml:space="preserve">1—2</w:t>
            </w:r>
          </w:p>
        </w:tc>
        <w:tc>
          <w:tcPr/>
          <w:p>
            <w:pPr>
              <w:pStyle w:val="Compact"/>
              <w:jc w:val="left"/>
            </w:pPr>
            <w:r>
              <w:rPr>
                <w:lang w:val="en"/>
              </w:rPr>
              <w:t xml:space="preserve">REEF survey, national reef monitoring</w:t>
            </w:r>
          </w:p>
        </w:tc>
      </w:tr>
      <w:tr>
        <w:tc>
          <w:tcPr/>
          <w:p>
            <w:pPr>
              <w:pStyle w:val="Compact"/>
              <w:jc w:val="left"/>
            </w:pPr>
            <w:r>
              <w:rPr>
                <w:lang w:val="en"/>
              </w:rPr>
              <w:t xml:space="preserve">Kelp forest / temperate reef</w:t>
            </w:r>
          </w:p>
        </w:tc>
        <w:tc>
          <w:tcPr/>
          <w:p>
            <w:pPr>
              <w:pStyle w:val="Compact"/>
              <w:jc w:val="left"/>
            </w:pPr>
            <w:r>
              <w:rPr>
                <w:lang w:val="en"/>
              </w:rPr>
              <w:t xml:space="preserve">Stipe density</w:t>
            </w:r>
          </w:p>
        </w:tc>
        <w:tc>
          <w:tcPr/>
          <w:p>
            <w:pPr>
              <w:pStyle w:val="Compact"/>
              <w:jc w:val="left"/>
            </w:pPr>
            <w:r>
              <w:rPr>
                <w:lang w:val="en"/>
              </w:rPr>
              <w:t xml:space="preserve">Kelp stipes per unit area</w:t>
            </w:r>
          </w:p>
        </w:tc>
        <w:tc>
          <w:tcPr/>
          <w:p>
            <w:pPr>
              <w:pStyle w:val="Compact"/>
              <w:jc w:val="left"/>
            </w:pPr>
            <w:r>
              <w:rPr>
                <w:lang w:val="en"/>
              </w:rPr>
              <w:t xml:space="preserve">stipes/m²</w:t>
            </w:r>
          </w:p>
        </w:tc>
        <w:tc>
          <w:tcPr/>
          <w:p>
            <w:pPr>
              <w:pStyle w:val="Compact"/>
              <w:jc w:val="left"/>
            </w:pPr>
            <w:r>
              <w:rPr>
                <w:lang w:val="en"/>
              </w:rPr>
              <w:t xml:space="preserve">B2</w:t>
            </w:r>
          </w:p>
        </w:tc>
        <w:tc>
          <w:tcPr/>
          <w:p>
            <w:pPr>
              <w:pStyle w:val="Compact"/>
              <w:jc w:val="left"/>
            </w:pPr>
            <w:r>
              <w:rPr>
                <w:lang w:val="en"/>
              </w:rPr>
              <w:t xml:space="preserve">1—2</w:t>
            </w:r>
          </w:p>
        </w:tc>
        <w:tc>
          <w:tcPr/>
          <w:p>
            <w:pPr>
              <w:pStyle w:val="Compact"/>
              <w:jc w:val="left"/>
            </w:pPr>
            <w:r>
              <w:rPr>
                <w:lang w:val="en"/>
              </w:rPr>
              <w:t xml:space="preserve">Belt transect, REEF survey</w:t>
            </w:r>
          </w:p>
        </w:tc>
      </w:tr>
      <w:tr>
        <w:tc>
          <w:tcPr/>
          <w:p>
            <w:pPr>
              <w:pStyle w:val="Compact"/>
              <w:jc w:val="left"/>
            </w:pPr>
            <w:r>
              <w:rPr>
                <w:lang w:val="en"/>
              </w:rPr>
              <w:t xml:space="preserve">Kelp forest / temperate reef</w:t>
            </w:r>
          </w:p>
        </w:tc>
        <w:tc>
          <w:tcPr/>
          <w:p>
            <w:pPr>
              <w:pStyle w:val="Compact"/>
              <w:jc w:val="left"/>
            </w:pPr>
            <w:r>
              <w:rPr>
                <w:lang w:val="en"/>
              </w:rPr>
              <w:t xml:space="preserve">Sea urchin density</w:t>
            </w:r>
          </w:p>
        </w:tc>
        <w:tc>
          <w:tcPr/>
          <w:p>
            <w:pPr>
              <w:pStyle w:val="Compact"/>
              <w:jc w:val="left"/>
            </w:pPr>
            <w:r>
              <w:rPr>
                <w:lang w:val="en"/>
              </w:rPr>
              <w:t xml:space="preserve">Individuals per unit area (trophic state indicator)</w:t>
            </w:r>
          </w:p>
        </w:tc>
        <w:tc>
          <w:tcPr/>
          <w:p>
            <w:pPr>
              <w:pStyle w:val="Compact"/>
              <w:jc w:val="left"/>
            </w:pPr>
            <w:r>
              <w:rPr>
                <w:lang w:val="en"/>
              </w:rPr>
              <w:t xml:space="preserve">individuals/m²</w:t>
            </w:r>
          </w:p>
        </w:tc>
        <w:tc>
          <w:tcPr/>
          <w:p>
            <w:pPr>
              <w:pStyle w:val="Compact"/>
              <w:jc w:val="left"/>
            </w:pPr>
            <w:r>
              <w:rPr>
                <w:lang w:val="en"/>
              </w:rPr>
              <w:t xml:space="preserve">B2</w:t>
            </w:r>
          </w:p>
        </w:tc>
        <w:tc>
          <w:tcPr/>
          <w:p>
            <w:pPr>
              <w:pStyle w:val="Compact"/>
              <w:jc w:val="left"/>
            </w:pPr>
            <w:r>
              <w:rPr>
                <w:lang w:val="en"/>
              </w:rPr>
              <w:t xml:space="preserve">1—2</w:t>
            </w:r>
          </w:p>
        </w:tc>
        <w:tc>
          <w:tcPr/>
          <w:p>
            <w:pPr>
              <w:pStyle w:val="Compact"/>
              <w:jc w:val="left"/>
            </w:pPr>
            <w:r>
              <w:rPr>
                <w:lang w:val="en"/>
              </w:rPr>
              <w:t xml:space="preserve">Belt transect, REEF survey</w:t>
            </w:r>
          </w:p>
        </w:tc>
      </w:tr>
      <w:tr>
        <w:tc>
          <w:tcPr/>
          <w:p>
            <w:pPr>
              <w:pStyle w:val="Compact"/>
              <w:jc w:val="left"/>
            </w:pPr>
            <w:r>
              <w:rPr>
                <w:lang w:val="en"/>
              </w:rPr>
              <w:t xml:space="preserve">Pelagic / open ocean</w:t>
            </w:r>
          </w:p>
        </w:tc>
        <w:tc>
          <w:tcPr/>
          <w:p>
            <w:pPr>
              <w:pStyle w:val="Compact"/>
              <w:jc w:val="left"/>
            </w:pPr>
            <w:r>
              <w:rPr>
                <w:lang w:val="en"/>
              </w:rPr>
              <w:t xml:space="preserve">Phytoplankton biomass (chlorophyll-a)</w:t>
            </w:r>
          </w:p>
        </w:tc>
        <w:tc>
          <w:tcPr/>
          <w:p>
            <w:pPr>
              <w:pStyle w:val="Compact"/>
              <w:jc w:val="left"/>
            </w:pPr>
            <w:r>
              <w:rPr>
                <w:lang w:val="en"/>
              </w:rPr>
              <w:t xml:space="preserve">Concentration</w:t>
            </w:r>
          </w:p>
        </w:tc>
        <w:tc>
          <w:tcPr/>
          <w:p>
            <w:pPr>
              <w:pStyle w:val="Compact"/>
              <w:jc w:val="left"/>
            </w:pPr>
            <w:r>
              <w:rPr>
                <w:lang w:val="en"/>
              </w:rPr>
              <w:t xml:space="preserve">µg/L</w:t>
            </w:r>
          </w:p>
        </w:tc>
        <w:tc>
          <w:tcPr/>
          <w:p>
            <w:pPr>
              <w:pStyle w:val="Compact"/>
              <w:jc w:val="left"/>
            </w:pPr>
            <w:r>
              <w:rPr>
                <w:lang w:val="en"/>
              </w:rPr>
              <w:t xml:space="preserve">B2</w:t>
            </w:r>
          </w:p>
        </w:tc>
        <w:tc>
          <w:tcPr/>
          <w:p>
            <w:pPr>
              <w:pStyle w:val="Compact"/>
              <w:jc w:val="left"/>
            </w:pPr>
            <w:r>
              <w:rPr>
                <w:lang w:val="en"/>
              </w:rPr>
              <w:t xml:space="preserve">1—4</w:t>
            </w:r>
          </w:p>
        </w:tc>
        <w:tc>
          <w:tcPr/>
          <w:p>
            <w:pPr>
              <w:pStyle w:val="Compact"/>
              <w:jc w:val="left"/>
            </w:pPr>
            <w:r>
              <w:rPr>
                <w:lang w:val="en"/>
              </w:rPr>
              <w:t xml:space="preserve">MODIS Aqua, Sentinel-3 OLCI</w:t>
            </w:r>
          </w:p>
        </w:tc>
      </w:tr>
      <w:tr>
        <w:tc>
          <w:tcPr/>
          <w:p>
            <w:pPr>
              <w:pStyle w:val="Compact"/>
              <w:jc w:val="left"/>
            </w:pPr>
            <w:r>
              <w:rPr>
                <w:lang w:val="en"/>
              </w:rPr>
              <w:t xml:space="preserve">Pelagic / open ocean</w:t>
            </w:r>
          </w:p>
        </w:tc>
        <w:tc>
          <w:tcPr/>
          <w:p>
            <w:pPr>
              <w:pStyle w:val="Compact"/>
              <w:jc w:val="left"/>
            </w:pPr>
            <w:r>
              <w:rPr>
                <w:lang w:val="en"/>
              </w:rPr>
              <w:t xml:space="preserve">Fish stock biomass</w:t>
            </w:r>
          </w:p>
        </w:tc>
        <w:tc>
          <w:tcPr/>
          <w:p>
            <w:pPr>
              <w:pStyle w:val="Compact"/>
              <w:jc w:val="left"/>
            </w:pPr>
            <w:r>
              <w:rPr>
                <w:lang w:val="en"/>
              </w:rPr>
              <w:t xml:space="preserve">Exploited stock biomass</w:t>
            </w:r>
          </w:p>
        </w:tc>
        <w:tc>
          <w:tcPr/>
          <w:p>
            <w:pPr>
              <w:pStyle w:val="Compact"/>
              <w:jc w:val="left"/>
            </w:pPr>
            <w:r>
              <w:rPr>
                <w:lang w:val="en"/>
              </w:rPr>
              <w:t xml:space="preserve">tonnes</w:t>
            </w:r>
          </w:p>
        </w:tc>
        <w:tc>
          <w:tcPr/>
          <w:p>
            <w:pPr>
              <w:pStyle w:val="Compact"/>
              <w:jc w:val="left"/>
            </w:pPr>
            <w:r>
              <w:rPr>
                <w:lang w:val="en"/>
              </w:rPr>
              <w:t xml:space="preserve">B2</w:t>
            </w:r>
          </w:p>
        </w:tc>
        <w:tc>
          <w:tcPr/>
          <w:p>
            <w:pPr>
              <w:pStyle w:val="Compact"/>
              <w:jc w:val="left"/>
            </w:pPr>
            <w:r>
              <w:rPr>
                <w:lang w:val="en"/>
              </w:rPr>
              <w:t xml:space="preserve">1—2</w:t>
            </w:r>
          </w:p>
        </w:tc>
        <w:tc>
          <w:tcPr/>
          <w:p>
            <w:pPr>
              <w:pStyle w:val="Compact"/>
              <w:jc w:val="left"/>
            </w:pPr>
            <w:r>
              <w:rPr>
                <w:lang w:val="en"/>
              </w:rPr>
              <w:t xml:space="preserve">RAM Legacy Database, stock assessment</w:t>
            </w:r>
          </w:p>
        </w:tc>
      </w:tr>
      <w:tr>
        <w:tc>
          <w:tcPr/>
          <w:p>
            <w:pPr>
              <w:pStyle w:val="Compact"/>
              <w:jc w:val="left"/>
            </w:pPr>
            <w:r>
              <w:rPr>
                <w:lang w:val="en"/>
              </w:rPr>
              <w:t xml:space="preserve">Pelagic / open ocean</w:t>
            </w:r>
          </w:p>
        </w:tc>
        <w:tc>
          <w:tcPr/>
          <w:p>
            <w:pPr>
              <w:pStyle w:val="Compact"/>
              <w:jc w:val="left"/>
            </w:pPr>
            <w:r>
              <w:rPr>
                <w:lang w:val="en"/>
              </w:rPr>
              <w:t xml:space="preserve">Marine mammal abundance index</w:t>
            </w:r>
          </w:p>
        </w:tc>
        <w:tc>
          <w:tcPr/>
          <w:p>
            <w:pPr>
              <w:pStyle w:val="Compact"/>
              <w:jc w:val="left"/>
            </w:pPr>
            <w:r>
              <w:rPr>
                <w:lang w:val="en"/>
              </w:rPr>
              <w:t xml:space="preserve">Survey-based abundance estimate</w:t>
            </w:r>
          </w:p>
        </w:tc>
        <w:tc>
          <w:tcPr/>
          <w:p>
            <w:pPr>
              <w:pStyle w:val="Compact"/>
              <w:jc w:val="left"/>
            </w:pPr>
            <w:r>
              <w:rPr>
                <w:lang w:val="en"/>
              </w:rPr>
              <w:t xml:space="preserve">individuals</w:t>
            </w:r>
          </w:p>
        </w:tc>
        <w:tc>
          <w:tcPr/>
          <w:p>
            <w:pPr>
              <w:pStyle w:val="Compact"/>
              <w:jc w:val="left"/>
            </w:pPr>
            <w:r>
              <w:rPr>
                <w:lang w:val="en"/>
              </w:rPr>
              <w:t xml:space="preserve">B2</w:t>
            </w:r>
          </w:p>
        </w:tc>
        <w:tc>
          <w:tcPr/>
          <w:p>
            <w:pPr>
              <w:pStyle w:val="Compact"/>
              <w:jc w:val="left"/>
            </w:pPr>
            <w:r>
              <w:rPr>
                <w:lang w:val="en"/>
              </w:rPr>
              <w:t xml:space="preserve">2—3</w:t>
            </w:r>
          </w:p>
        </w:tc>
        <w:tc>
          <w:tcPr/>
          <w:p>
            <w:pPr>
              <w:pStyle w:val="Compact"/>
              <w:jc w:val="left"/>
            </w:pPr>
            <w:r>
              <w:rPr>
                <w:lang w:val="en"/>
              </w:rPr>
              <w:t xml:space="preserve">National cetacean survey programmes (IWC Scientific Committee framework)</w:t>
            </w:r>
          </w:p>
        </w:tc>
      </w:tr>
      <w:tr>
        <w:tc>
          <w:tcPr/>
          <w:p>
            <w:pPr>
              <w:pStyle w:val="Compact"/>
              <w:jc w:val="left"/>
            </w:pPr>
            <w:r>
              <w:rPr>
                <w:lang w:val="en"/>
              </w:rPr>
              <w:t xml:space="preserve">Soft-sediment benthos</w:t>
            </w:r>
          </w:p>
        </w:tc>
        <w:tc>
          <w:tcPr/>
          <w:p>
            <w:pPr>
              <w:pStyle w:val="Compact"/>
              <w:jc w:val="left"/>
            </w:pPr>
            <w:r>
              <w:rPr>
                <w:lang w:val="en"/>
              </w:rPr>
              <w:t xml:space="preserve">Macro-invertebrate diversity</w:t>
            </w:r>
          </w:p>
        </w:tc>
        <w:tc>
          <w:tcPr/>
          <w:p>
            <w:pPr>
              <w:pStyle w:val="Compact"/>
              <w:jc w:val="left"/>
            </w:pPr>
            <w:r>
              <w:rPr>
                <w:lang w:val="en"/>
              </w:rPr>
              <w:t xml:space="preserve">Shannon diversity index (H’)</w:t>
            </w:r>
          </w:p>
        </w:tc>
        <w:tc>
          <w:tcPr/>
          <w:p>
            <w:pPr>
              <w:pStyle w:val="Compact"/>
              <w:jc w:val="left"/>
            </w:pPr>
            <w:r>
              <w:rPr>
                <w:lang w:val="en"/>
              </w:rPr>
              <w:t xml:space="preserve">dimensionless</w:t>
            </w:r>
          </w:p>
        </w:tc>
        <w:tc>
          <w:tcPr/>
          <w:p>
            <w:pPr>
              <w:pStyle w:val="Compact"/>
              <w:jc w:val="left"/>
            </w:pPr>
            <w:r>
              <w:rPr>
                <w:lang w:val="en"/>
              </w:rPr>
              <w:t xml:space="preserve">B1</w:t>
            </w:r>
          </w:p>
        </w:tc>
        <w:tc>
          <w:tcPr/>
          <w:p>
            <w:pPr>
              <w:pStyle w:val="Compact"/>
              <w:jc w:val="left"/>
            </w:pPr>
            <w:r>
              <w:rPr>
                <w:lang w:val="en"/>
              </w:rPr>
              <w:t xml:space="preserve">1—2</w:t>
            </w:r>
          </w:p>
        </w:tc>
        <w:tc>
          <w:tcPr/>
          <w:p>
            <w:pPr>
              <w:pStyle w:val="Compact"/>
              <w:jc w:val="left"/>
            </w:pPr>
            <w:r>
              <w:rPr>
                <w:lang w:val="en"/>
              </w:rPr>
              <w:t xml:space="preserve">MOSSCO benthic survey</w:t>
            </w:r>
          </w:p>
        </w:tc>
      </w:tr>
      <w:tr>
        <w:tc>
          <w:tcPr/>
          <w:p>
            <w:pPr>
              <w:pStyle w:val="Compact"/>
              <w:jc w:val="left"/>
            </w:pPr>
            <w:r>
              <w:rPr>
                <w:lang w:val="en"/>
              </w:rPr>
              <w:t xml:space="preserve">Soft-sediment benthos</w:t>
            </w:r>
          </w:p>
        </w:tc>
        <w:tc>
          <w:tcPr/>
          <w:p>
            <w:pPr>
              <w:pStyle w:val="Compact"/>
              <w:jc w:val="left"/>
            </w:pPr>
            <w:r>
              <w:rPr>
                <w:lang w:val="en"/>
              </w:rPr>
              <w:t xml:space="preserve">Macro-invertebrate biomass</w:t>
            </w:r>
          </w:p>
        </w:tc>
        <w:tc>
          <w:tcPr/>
          <w:p>
            <w:pPr>
              <w:pStyle w:val="Compact"/>
              <w:jc w:val="left"/>
            </w:pPr>
            <w:r>
              <w:rPr>
                <w:lang w:val="en"/>
              </w:rPr>
              <w:t xml:space="preserve">Wet or dry weight per area</w:t>
            </w:r>
          </w:p>
        </w:tc>
        <w:tc>
          <w:tcPr/>
          <w:p>
            <w:pPr>
              <w:pStyle w:val="Compact"/>
              <w:jc w:val="left"/>
            </w:pPr>
            <w:r>
              <w:rPr>
                <w:lang w:val="en"/>
              </w:rPr>
              <w:t xml:space="preserve">g/m²</w:t>
            </w:r>
          </w:p>
        </w:tc>
        <w:tc>
          <w:tcPr/>
          <w:p>
            <w:pPr>
              <w:pStyle w:val="Compact"/>
              <w:jc w:val="left"/>
            </w:pPr>
            <w:r>
              <w:rPr>
                <w:lang w:val="en"/>
              </w:rPr>
              <w:t xml:space="preserve">B2</w:t>
            </w:r>
          </w:p>
        </w:tc>
        <w:tc>
          <w:tcPr/>
          <w:p>
            <w:pPr>
              <w:pStyle w:val="Compact"/>
              <w:jc w:val="left"/>
            </w:pPr>
            <w:r>
              <w:rPr>
                <w:lang w:val="en"/>
              </w:rPr>
              <w:t xml:space="preserve">1—2</w:t>
            </w:r>
          </w:p>
        </w:tc>
        <w:tc>
          <w:tcPr/>
          <w:p>
            <w:pPr>
              <w:pStyle w:val="Compact"/>
              <w:jc w:val="left"/>
            </w:pPr>
            <w:r>
              <w:rPr>
                <w:lang w:val="en"/>
              </w:rPr>
              <w:t xml:space="preserve">MOSSCO benthic survey</w:t>
            </w:r>
          </w:p>
        </w:tc>
      </w:tr>
      <w:tr>
        <w:tc>
          <w:tcPr/>
          <w:p>
            <w:pPr>
              <w:pStyle w:val="Compact"/>
              <w:jc w:val="left"/>
            </w:pPr>
            <w:r>
              <w:rPr>
                <w:lang w:val="en"/>
              </w:rPr>
              <w:t xml:space="preserve">Soft-sediment benthos</w:t>
            </w:r>
          </w:p>
        </w:tc>
        <w:tc>
          <w:tcPr/>
          <w:p>
            <w:pPr>
              <w:pStyle w:val="Compact"/>
              <w:jc w:val="left"/>
            </w:pPr>
            <w:r>
              <w:rPr>
                <w:lang w:val="en"/>
              </w:rPr>
              <w:t xml:space="preserve">Biotic integrity index</w:t>
            </w:r>
          </w:p>
        </w:tc>
        <w:tc>
          <w:tcPr/>
          <w:p>
            <w:pPr>
              <w:pStyle w:val="Compact"/>
              <w:jc w:val="left"/>
            </w:pPr>
            <w:r>
              <w:rPr>
                <w:lang w:val="en"/>
              </w:rPr>
              <w:t xml:space="preserve">AMBI or BENTIX score</w:t>
            </w:r>
          </w:p>
        </w:tc>
        <w:tc>
          <w:tcPr/>
          <w:p>
            <w:pPr>
              <w:pStyle w:val="Compact"/>
              <w:jc w:val="left"/>
            </w:pPr>
            <w:r>
              <w:rPr>
                <w:lang w:val="en"/>
              </w:rPr>
              <w:t xml:space="preserve">score</w:t>
            </w:r>
          </w:p>
        </w:tc>
        <w:tc>
          <w:tcPr/>
          <w:p>
            <w:pPr>
              <w:pStyle w:val="Compact"/>
              <w:jc w:val="left"/>
            </w:pPr>
            <w:r>
              <w:rPr>
                <w:lang w:val="en"/>
              </w:rPr>
              <w:t xml:space="preserve">B3</w:t>
            </w:r>
          </w:p>
        </w:tc>
        <w:tc>
          <w:tcPr/>
          <w:p>
            <w:pPr>
              <w:pStyle w:val="Compact"/>
              <w:jc w:val="left"/>
            </w:pPr>
            <w:r>
              <w:rPr>
                <w:lang w:val="en"/>
              </w:rPr>
              <w:t xml:space="preserve">1—2</w:t>
            </w:r>
          </w:p>
        </w:tc>
        <w:tc>
          <w:tcPr/>
          <w:p>
            <w:pPr>
              <w:pStyle w:val="Compact"/>
              <w:jc w:val="left"/>
            </w:pPr>
            <w:r>
              <w:rPr>
                <w:lang w:val="en"/>
              </w:rPr>
              <w:t xml:space="preserve">ICES WG protocols</w:t>
            </w:r>
          </w:p>
        </w:tc>
      </w:tr>
      <w:tr>
        <w:tc>
          <w:tcPr/>
          <w:p>
            <w:pPr>
              <w:pStyle w:val="Compact"/>
              <w:jc w:val="left"/>
            </w:pPr>
            <w:r>
              <w:rPr>
                <w:lang w:val="en"/>
              </w:rPr>
              <w:t xml:space="preserve">All ecosystems</w:t>
            </w:r>
          </w:p>
        </w:tc>
        <w:tc>
          <w:tcPr/>
          <w:p>
            <w:pPr>
              <w:pStyle w:val="Compact"/>
              <w:jc w:val="left"/>
            </w:pPr>
            <w:r>
              <w:rPr>
                <w:lang w:val="en"/>
              </w:rPr>
              <w:t xml:space="preserve">Non-indigenous/invasive species (NIS)</w:t>
            </w:r>
          </w:p>
        </w:tc>
        <w:tc>
          <w:tcPr/>
          <w:p>
            <w:pPr>
              <w:pStyle w:val="Compact"/>
              <w:jc w:val="left"/>
            </w:pPr>
            <w:r>
              <w:rPr>
                <w:lang w:val="en"/>
              </w:rPr>
              <w:t xml:space="preserve">Relative abundance or occurrence</w:t>
            </w:r>
          </w:p>
        </w:tc>
        <w:tc>
          <w:tcPr/>
          <w:p>
            <w:pPr>
              <w:pStyle w:val="Compact"/>
              <w:jc w:val="left"/>
            </w:pPr>
            <w:r>
              <w:rPr>
                <w:lang w:val="en"/>
              </w:rPr>
              <w:t xml:space="preserve">% / occurrence</w:t>
            </w:r>
          </w:p>
        </w:tc>
        <w:tc>
          <w:tcPr/>
          <w:p>
            <w:pPr>
              <w:pStyle w:val="Compact"/>
              <w:jc w:val="left"/>
            </w:pPr>
            <w:r>
              <w:rPr>
                <w:lang w:val="en"/>
              </w:rPr>
              <w:t xml:space="preserve">B1</w:t>
            </w:r>
          </w:p>
        </w:tc>
        <w:tc>
          <w:tcPr/>
          <w:p>
            <w:pPr>
              <w:pStyle w:val="Compact"/>
              <w:jc w:val="left"/>
            </w:pPr>
            <w:r>
              <w:rPr>
                <w:lang w:val="en"/>
              </w:rPr>
              <w:t xml:space="preserve">1—3</w:t>
            </w:r>
          </w:p>
        </w:tc>
        <w:tc>
          <w:tcPr/>
          <w:p>
            <w:pPr>
              <w:pStyle w:val="Compact"/>
              <w:jc w:val="left"/>
            </w:pPr>
            <w:r>
              <w:rPr>
                <w:lang w:val="en"/>
              </w:rPr>
              <w:t xml:space="preserve">National NIS programmes, IUCN</w:t>
            </w:r>
          </w:p>
        </w:tc>
      </w:tr>
    </w:tbl>
    <w:p>
      <w:pPr>
        <w:pStyle w:val="BodyText"/>
      </w:pPr>
      <w:r>
        <w:rPr>
          <w:lang w:val="en"/>
        </w:rPr>
        <w:t xml:space="preserve">¶2</w:t>
      </w:r>
      <w:r>
        <w:rPr>
          <w:lang w:val="en"/>
        </w:rPr>
        <w:t xml:space="preserve"> </w:t>
      </w:r>
      <w:r>
        <w:rPr>
          <w:iCs/>
          <w:i/>
          <w:lang w:val="en"/>
        </w:rPr>
        <w:t xml:space="preserve">NIS indicators should reference EU MSFD Descriptor D2 (Non-indigenous species) for harmonisation in European seas.</w:t>
      </w:r>
      <w:hyperlink w:anchor="user-content-fn-10">
        <w:r>
          <w:rPr>
            <w:rStyle w:val="Hyperlink"/>
            <w:vertAlign w:val="superscript"/>
            <w:iCs/>
            <w:i/>
            <w:lang w:val="en"/>
          </w:rPr>
          <w:t xml:space="preserve">5</w:t>
        </w:r>
      </w:hyperlink>
    </w:p>
    <w:p>
      <w:pPr>
        <w:pStyle w:val="BodyText"/>
      </w:pPr>
      <w:r>
        <w:rPr>
          <w:lang w:val="en"/>
        </w:rPr>
        <w:t xml:space="preserve">¶3</w:t>
      </w:r>
      <w:r>
        <w:rPr>
          <w:lang w:val="en"/>
        </w:rPr>
        <w:t xml:space="preserve"> </w:t>
      </w:r>
      <w:r>
        <w:rPr>
          <w:iCs/>
          <w:i/>
          <w:lang w:val="en"/>
        </w:rPr>
        <w:t xml:space="preserve">Sea urchin density (kelp forest / temperate reef) is an ecosystem state-shift indicator — elevated density signals a phase shift to urchin barrens. Compilers should record it as a supplementary condition variable and flag threshold exceedance rather than rescaling it to a 0—1 indicator on the same basis as canopy cover.</w:t>
      </w:r>
    </w:p>
    <w:p>
      <w:pPr>
        <w:pStyle w:val="BodyText"/>
      </w:pPr>
      <w:r>
        <w:rPr>
          <w:lang w:val="en"/>
        </w:rPr>
        <w:t xml:space="preserve">¶4</w:t>
      </w:r>
      <w:r>
        <w:rPr>
          <w:lang w:val="en"/>
        </w:rPr>
        <w:t xml:space="preserve"> </w:t>
      </w:r>
      <w:r>
        <w:rPr>
          <w:bCs/>
          <w:b/>
          <w:lang w:val="en"/>
        </w:rPr>
        <w:t xml:space="preserve">Fish stock biomass (dual-role note):</w:t>
      </w:r>
      <w:r>
        <w:rPr>
          <w:lang w:val="en"/>
        </w:rPr>
        <w:t xml:space="preserve"> </w:t>
      </w:r>
      <w:r>
        <w:rPr>
          <w:lang w:val="en"/>
        </w:rPr>
        <w:t xml:space="preserve">Fish stock biomass (pelagic/open ocean row) serves a dual role in the SEEA EA framework. When used to characterise the biological condition of a pelagic ecosystem unit (specifically the structural state of the fish community), it is a biological condition indicator (ECT Class B2) and belongs in the ecosystem condition account. When used to track the resource stock as an economic asset, it is a natural resource asset variable belonging in the natural resource sub-account of the asset account. NSO compilers should determine which account context applies before entering the variable, and use the same data source consistently between both accounts where the variable appears in both. Cross-reference</w:t>
      </w:r>
      <w:r>
        <w:rPr>
          <w:lang w:val="en"/>
        </w:rPr>
        <w:t xml:space="preserve"> </w:t>
      </w:r>
      <w:hyperlink r:id="rId71">
        <w:r>
          <w:rPr>
            <w:rStyle w:val="Hyperlink"/>
            <w:lang w:val="en"/>
          </w:rPr>
          <w:t xml:space="preserve">TG-6.5 Pelagic and Open Ocean Accounting</w:t>
        </w:r>
      </w:hyperlink>
      <w:r>
        <w:rPr>
          <w:lang w:val="en"/>
        </w:rPr>
        <w:t xml:space="preserve"> </w:t>
      </w:r>
      <w:r>
        <w:rPr>
          <w:lang w:val="en"/>
        </w:rPr>
        <w:t xml:space="preserve">for the stock account treatment.</w:t>
      </w:r>
    </w:p>
    <w:bookmarkStart w:id="74" w:name="X7e5077358572fe7ec1bc8f5c2e825ae5e4642a7"/>
    <w:p>
      <w:pPr>
        <w:pStyle w:val="Heading4"/>
      </w:pPr>
      <w:r>
        <w:rPr>
          <w:lang w:val="en"/>
        </w:rPr>
        <w:t xml:space="preserve">3.2.3</w:t>
      </w:r>
      <w:r>
        <w:rPr>
          <w:lang w:val="en"/>
        </w:rPr>
        <w:t xml:space="preserve"> </w:t>
      </w:r>
      <w:r>
        <w:rPr>
          <w:lang w:val="en"/>
        </w:rPr>
        <w:t xml:space="preserve">Reference Condition Values</w:t>
      </w:r>
    </w:p>
    <w:p>
      <w:pPr>
        <w:pStyle w:val="FirstParagraph"/>
      </w:pPr>
      <w:hyperlink w:anchor="X7e5077358572fe7ec1bc8f5c2e825ae5e4642a7">
        <w:r>
          <w:drawing>
            <wp:inline>
              <wp:extent cx="152400" cy="152400"/>
              <wp:effectExtent b="0" l="0" r="0" t="0"/>
              <wp:docPr descr="" title="" id="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“3.2.3 Reference Condition Values”</w:t>
        </w:r>
      </w:hyperlink>
    </w:p>
    <w:bookmarkEnd w:id="74"/>
    <w:p>
      <w:pPr>
        <w:pStyle w:val="BodyText"/>
      </w:pPr>
      <w:r>
        <w:rPr>
          <w:lang w:val="en"/>
        </w:rPr>
        <w:t xml:space="preserve">¶1</w:t>
      </w:r>
      <w:r>
        <w:rPr>
          <w:lang w:val="en"/>
        </w:rPr>
        <w:t xml:space="preserve"> </w:t>
      </w:r>
      <w:r>
        <w:rPr>
          <w:lang w:val="en"/>
        </w:rPr>
        <w:t xml:space="preserve">For each indicator, compilers must identify a reference condition value (the value expected at optimal biological condition) before rescaling. Reference condition values should be derived using the hierarchy described in §3.1.3. Where an empirical reference is unavailable, the approach used and its limitations should be explicitly documented in the metadata. Global products that may assist in setting reference values include:</w:t>
      </w:r>
    </w:p>
    <w:p>
      <w:pPr>
        <w:numPr>
          <w:ilvl w:val="0"/>
          <w:numId w:val="1004"/>
        </w:numPr>
        <w:pStyle w:val="Compact"/>
      </w:pPr>
      <w:r>
        <w:rPr>
          <w:lang w:val="en"/>
        </w:rPr>
        <w:t xml:space="preserve">¶2</w:t>
      </w:r>
      <w:r>
        <w:rPr>
          <w:lang w:val="en"/>
        </w:rPr>
        <w:t xml:space="preserve"> </w:t>
      </w:r>
      <w:r>
        <w:rPr>
          <w:lang w:val="en"/>
        </w:rPr>
        <w:t xml:space="preserve">ReefBase historical coral cover data for coral reef reference conditions</w:t>
      </w:r>
    </w:p>
    <w:p>
      <w:pPr>
        <w:numPr>
          <w:ilvl w:val="0"/>
          <w:numId w:val="1004"/>
        </w:numPr>
        <w:pStyle w:val="Compact"/>
      </w:pPr>
      <w:r>
        <w:rPr>
          <w:lang w:val="en"/>
        </w:rPr>
        <w:t xml:space="preserve">¶3</w:t>
      </w:r>
      <w:r>
        <w:rPr>
          <w:lang w:val="en"/>
        </w:rPr>
        <w:t xml:space="preserve"> </w:t>
      </w:r>
      <w:r>
        <w:rPr>
          <w:lang w:val="en"/>
        </w:rPr>
        <w:t xml:space="preserve">Global Mangrove Watch for mangrove canopy reference values</w:t>
      </w:r>
    </w:p>
    <w:p>
      <w:pPr>
        <w:numPr>
          <w:ilvl w:val="0"/>
          <w:numId w:val="1004"/>
        </w:numPr>
        <w:pStyle w:val="Compact"/>
      </w:pPr>
      <w:r>
        <w:rPr>
          <w:lang w:val="en"/>
        </w:rPr>
        <w:t xml:space="preserve">¶4</w:t>
      </w:r>
      <w:r>
        <w:rPr>
          <w:lang w:val="en"/>
        </w:rPr>
        <w:t xml:space="preserve"> </w:t>
      </w:r>
      <w:r>
        <w:rPr>
          <w:lang w:val="en"/>
        </w:rPr>
        <w:t xml:space="preserve">CMEMS ocean colour climatologies for phytoplankton biomass baselines</w:t>
      </w:r>
    </w:p>
    <w:p>
      <w:pPr>
        <w:numPr>
          <w:ilvl w:val="0"/>
          <w:numId w:val="1004"/>
        </w:numPr>
        <w:pStyle w:val="Compact"/>
      </w:pPr>
      <w:r>
        <w:rPr>
          <w:lang w:val="en"/>
        </w:rPr>
        <w:t xml:space="preserve">¶5</w:t>
      </w:r>
      <w:r>
        <w:rPr>
          <w:lang w:val="en"/>
        </w:rPr>
        <w:t xml:space="preserve"> </w:t>
      </w:r>
      <w:r>
        <w:rPr>
          <w:lang w:val="en"/>
        </w:rPr>
        <w:t xml:space="preserve">OBIS species occurrence archives for pre-impact species richness estimates</w:t>
      </w:r>
    </w:p>
    <w:p>
      <w:pPr>
        <w:pStyle w:val="FirstParagraph"/>
      </w:pPr>
      <w:r>
        <w:rPr>
          <w:lang w:val="en"/>
        </w:rPr>
        <w:t xml:space="preserve">¶6</w:t>
      </w:r>
      <w:r>
        <w:rPr>
          <w:lang w:val="en"/>
        </w:rPr>
        <w:t xml:space="preserve"> </w:t>
      </w:r>
      <w:r>
        <w:rPr>
          <w:lang w:val="en"/>
        </w:rPr>
        <w:t xml:space="preserve">OBIS historical records carry geographic and taxonomic coverage bias. Compilers should assess record density for the accounting unit and supplement with regional literature or expert elicitation where coverage is sparse.</w:t>
      </w:r>
    </w:p>
    <w:p>
      <w:r>
        <w:pict>
          <v:rect style="width:0;height:1.5pt" o:hralign="center" o:hrstd="t" o:hr="t"/>
        </w:pict>
      </w:r>
    </w:p>
    <w:bookmarkStart w:id="77" w:name="X5339a65d11c55e3455856663bc8a7764b488120"/>
    <w:p>
      <w:pPr>
        <w:pStyle w:val="Heading3"/>
      </w:pPr>
      <w:r>
        <w:rPr>
          <w:lang w:val="en"/>
        </w:rPr>
        <w:t xml:space="preserve">3.3</w:t>
      </w:r>
      <w:r>
        <w:rPr>
          <w:lang w:val="en"/>
        </w:rPr>
        <w:t xml:space="preserve"> </w:t>
      </w:r>
      <w:r>
        <w:rPr>
          <w:lang w:val="en"/>
        </w:rPr>
        <w:t xml:space="preserve">Measurement Protocols</w:t>
      </w:r>
    </w:p>
    <w:p>
      <w:pPr>
        <w:pStyle w:val="FirstParagraph"/>
      </w:pPr>
      <w:hyperlink w:anchor="X5339a65d11c55e3455856663bc8a7764b488120">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Measurement Protocols”</w:t>
        </w:r>
      </w:hyperlink>
    </w:p>
    <w:bookmarkEnd w:id="77"/>
    <w:bookmarkStart w:id="80" w:name="X4042542a7a5f7464de9b708c52b10514f1b3d64"/>
    <w:p>
      <w:pPr>
        <w:pStyle w:val="Heading4"/>
      </w:pPr>
      <w:r>
        <w:rPr>
          <w:lang w:val="en"/>
        </w:rPr>
        <w:t xml:space="preserve">3.3.1</w:t>
      </w:r>
      <w:r>
        <w:rPr>
          <w:lang w:val="en"/>
        </w:rPr>
        <w:t xml:space="preserve"> </w:t>
      </w:r>
      <w:r>
        <w:rPr>
          <w:lang w:val="en"/>
        </w:rPr>
        <w:t xml:space="preserve">In-Situ Survey Methods</w:t>
      </w:r>
    </w:p>
    <w:p>
      <w:pPr>
        <w:pStyle w:val="FirstParagraph"/>
      </w:pPr>
      <w:hyperlink w:anchor="X4042542a7a5f7464de9b708c52b10514f1b3d64">
        <w:r>
          <w:drawing>
            <wp:inline>
              <wp:extent cx="152400" cy="152400"/>
              <wp:effectExtent b="0" l="0" r="0" t="0"/>
              <wp:docPr descr="" title="" id="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In-Situ Survey Methods”</w:t>
        </w:r>
      </w:hyperlink>
    </w:p>
    <w:bookmarkEnd w:id="80"/>
    <w:p>
      <w:pPr>
        <w:pStyle w:val="BodyText"/>
      </w:pPr>
      <w:r>
        <w:rPr>
          <w:lang w:val="en"/>
        </w:rPr>
        <w:t xml:space="preserve">¶1</w:t>
      </w:r>
      <w:r>
        <w:rPr>
          <w:lang w:val="en"/>
        </w:rPr>
        <w:t xml:space="preserve"> </w:t>
      </w:r>
      <w:r>
        <w:rPr>
          <w:bCs/>
          <w:b/>
          <w:lang w:val="en"/>
        </w:rPr>
        <w:t xml:space="preserve">Transect surveys</w:t>
      </w:r>
      <w:r>
        <w:rPr>
          <w:lang w:val="en"/>
        </w:rPr>
        <w:t xml:space="preserve"> </w:t>
      </w:r>
      <w:r>
        <w:rPr>
          <w:lang w:val="en"/>
        </w:rPr>
        <w:t xml:space="preserve">are the primary method of in-situ biological condition monitoring. Three configurations are standard in ocean environments, summarised in Table 3.3.1.1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Configuration</w:t>
            </w:r>
          </w:p>
        </w:tc>
        <w:tc>
          <w:tcPr/>
          <w:p>
            <w:pPr>
              <w:pStyle w:val="Compact"/>
              <w:jc w:val="left"/>
            </w:pPr>
            <w:r>
              <w:rPr>
                <w:lang w:val="en"/>
              </w:rPr>
              <w:t xml:space="preserve">Description</w:t>
            </w:r>
          </w:p>
        </w:tc>
      </w:tr>
      <w:tr>
        <w:tc>
          <w:tcPr/>
          <w:p>
            <w:pPr>
              <w:pStyle w:val="Compact"/>
              <w:jc w:val="left"/>
            </w:pPr>
            <w:r>
              <w:rPr>
                <w:bCs/>
                <w:b/>
                <w:lang w:val="en"/>
              </w:rPr>
              <w:t xml:space="preserve">Belt transects (50 m × 4 m or similar)</w:t>
            </w:r>
          </w:p>
        </w:tc>
        <w:tc>
          <w:tcPr/>
          <w:p>
            <w:pPr>
              <w:pStyle w:val="Compact"/>
              <w:jc w:val="left"/>
            </w:pPr>
            <w:r>
              <w:rPr>
                <w:lang w:val="en"/>
              </w:rPr>
              <w:t xml:space="preserve">Used primarily for counting and measuring reef fish (for fish biomass) and mobile macroinvertebrates. Standard protocol: GCRMN fish survey module.</w:t>
            </w:r>
            <w:hyperlink w:anchor="user-content-fn-11">
              <w:r>
                <w:rPr>
                  <w:rStyle w:val="Hyperlink"/>
                  <w:vertAlign w:val="superscript"/>
                  <w:lang w:val="en"/>
                </w:rPr>
                <w:t xml:space="preserve">6</w:t>
              </w:r>
            </w:hyperlink>
          </w:p>
        </w:tc>
      </w:tr>
      <w:tr>
        <w:tc>
          <w:tcPr/>
          <w:p>
            <w:pPr>
              <w:pStyle w:val="Compact"/>
              <w:jc w:val="left"/>
            </w:pPr>
            <w:r>
              <w:rPr>
                <w:bCs/>
                <w:b/>
                <w:lang w:val="en"/>
              </w:rPr>
              <w:t xml:space="preserve">Line-intercept transects (50 m)</w:t>
            </w:r>
          </w:p>
        </w:tc>
        <w:tc>
          <w:tcPr/>
          <w:p>
            <w:pPr>
              <w:pStyle w:val="Compact"/>
              <w:jc w:val="left"/>
            </w:pPr>
            <w:r>
              <w:rPr>
                <w:lang w:val="en"/>
              </w:rPr>
              <w:t xml:space="preserve">Used for benthic composition, principally live coral cover, dead coral, and other substrate categories. Standard protocol: GCRMN benthic module.</w:t>
            </w:r>
          </w:p>
        </w:tc>
      </w:tr>
      <w:tr>
        <w:tc>
          <w:tcPr/>
          <w:p>
            <w:pPr>
              <w:pStyle w:val="Compact"/>
              <w:jc w:val="left"/>
            </w:pPr>
            <w:r>
              <w:rPr>
                <w:bCs/>
                <w:b/>
                <w:lang w:val="en"/>
              </w:rPr>
              <w:t xml:space="preserve">Point-contact method (quadrat or video transect)</w:t>
            </w:r>
          </w:p>
        </w:tc>
        <w:tc>
          <w:tcPr/>
          <w:p>
            <w:pPr>
              <w:pStyle w:val="Compact"/>
              <w:jc w:val="left"/>
            </w:pPr>
            <w:r>
              <w:rPr>
                <w:lang w:val="en"/>
              </w:rPr>
              <w:t xml:space="preserve">50 points or more per quadrat; records benthic composition at each point. Used for seagrass cover (SeagrassNet protocol</w:t>
            </w:r>
            <w:hyperlink w:anchor="user-content-fn-12">
              <w:r>
                <w:rPr>
                  <w:rStyle w:val="Hyperlink"/>
                  <w:vertAlign w:val="superscript"/>
                  <w:lang w:val="en"/>
                </w:rPr>
                <w:t xml:space="preserve">7</w:t>
              </w:r>
            </w:hyperlink>
            <w:r>
              <w:rPr>
                <w:lang w:val="en"/>
              </w:rPr>
              <w:t xml:space="preserve">) and soft-sediment benthos.</w:t>
            </w:r>
          </w:p>
        </w:tc>
      </w:tr>
    </w:tbl>
    <w:p>
      <w:pPr>
        <w:pStyle w:val="BodyText"/>
      </w:pPr>
      <w:r>
        <w:rPr>
          <w:lang w:val="en"/>
        </w:rPr>
        <w:t xml:space="preserve">¶2</w:t>
      </w:r>
      <w:r>
        <w:rPr>
          <w:lang w:val="en"/>
        </w:rPr>
        <w:t xml:space="preserve"> </w:t>
      </w:r>
      <w:r>
        <w:rPr>
          <w:lang w:val="en"/>
        </w:rPr>
        <w:t xml:space="preserve">Surveys should be replicated (minimum three transects per habitat stratum per site) and sites georeferenced to WGS84 with at least ±10 m accuracy. Survey data should record observer, time, depth, visibility, and sea state as ancillary variables.</w:t>
      </w:r>
    </w:p>
    <w:p>
      <w:pPr>
        <w:pStyle w:val="BodyText"/>
      </w:pPr>
      <w:r>
        <w:rPr>
          <w:lang w:val="en"/>
        </w:rPr>
        <w:t xml:space="preserve">¶3</w:t>
      </w:r>
      <w:r>
        <w:rPr>
          <w:lang w:val="en"/>
        </w:rPr>
        <w:t xml:space="preserve"> </w:t>
      </w:r>
      <w:r>
        <w:rPr>
          <w:bCs/>
          <w:b/>
          <w:lang w:val="en"/>
        </w:rPr>
        <w:t xml:space="preserve">BRUVS (Baited Remote Underwater Video Systems):</w:t>
      </w:r>
      <w:r>
        <w:rPr>
          <w:lang w:val="en"/>
        </w:rPr>
        <w:t xml:space="preserve"> </w:t>
      </w:r>
      <w:r>
        <w:rPr>
          <w:lang w:val="en"/>
        </w:rPr>
        <w:t xml:space="preserve">BRUVS provide standardised, non-destructive estimates of reef fish abundance (MaxN metric — the maximum number of individuals of a species visible simultaneously in a frame) and can be deployed in depths and locations inaccessible to diver surveys. BRUVS data are increasingly accepted as Tier 1 data for fish biomass accounts. Compilers should report MaxN per deployment with standard uncertainty metrics. Where BRUVS and UVC transect data are both available, calibration relationships should be developed to enable time-series comparability.</w:t>
      </w:r>
    </w:p>
    <w:p>
      <w:pPr>
        <w:pStyle w:val="BodyText"/>
      </w:pPr>
      <w:r>
        <w:rPr>
          <w:lang w:val="en"/>
        </w:rPr>
        <w:t xml:space="preserve">¶4</w:t>
      </w:r>
      <w:r>
        <w:rPr>
          <w:lang w:val="en"/>
        </w:rPr>
        <w:t xml:space="preserve"> </w:t>
      </w:r>
      <w:r>
        <w:rPr>
          <w:bCs/>
          <w:b/>
          <w:lang w:val="en"/>
        </w:rPr>
        <w:t xml:space="preserve">Acoustic methods:</w:t>
      </w:r>
      <w:r>
        <w:rPr>
          <w:lang w:val="en"/>
        </w:rPr>
        <w:t xml:space="preserve"> </w:t>
      </w:r>
      <w:r>
        <w:rPr>
          <w:lang w:val="en"/>
        </w:rPr>
        <w:t xml:space="preserve">Hydroacoustic biomass surveys (scientific echosounders, 38—200 kHz) are the standard for pelagic fish and zooplankton biomass in open-water environments. Passive acoustic monitoring (PAM) using hydrophone arrays provides abundance and distribution indices for cetaceans and acoustic soundscape indicators. Both methods require specialised expertise. NSOs should explore partnership with fisheries research agencies that operate acoustic survey vessels.</w:t>
      </w:r>
    </w:p>
    <w:p>
      <w:pPr>
        <w:pStyle w:val="BodyText"/>
      </w:pPr>
      <w:r>
        <w:rPr>
          <w:lang w:val="en"/>
        </w:rPr>
        <w:t xml:space="preserve">¶5</w:t>
      </w:r>
      <w:r>
        <w:rPr>
          <w:lang w:val="en"/>
        </w:rPr>
        <w:t xml:space="preserve"> </w:t>
      </w:r>
      <w:r>
        <w:rPr>
          <w:bCs/>
          <w:b/>
          <w:lang w:val="en"/>
        </w:rPr>
        <w:t xml:space="preserve">eDNA methods:</w:t>
      </w:r>
      <w:r>
        <w:rPr>
          <w:lang w:val="en"/>
        </w:rPr>
        <w:t xml:space="preserve"> </w:t>
      </w:r>
      <w:r>
        <w:rPr>
          <w:lang w:val="en"/>
        </w:rPr>
        <w:t xml:space="preserve">Environmental DNA (eDNA) sampling provides species detection and community characterisation without physical capture of organisms. Two analytical workflows serve different purposes in biological condition accounts:</w:t>
      </w:r>
    </w:p>
    <w:p>
      <w:pPr>
        <w:numPr>
          <w:ilvl w:val="0"/>
          <w:numId w:val="1005"/>
        </w:numPr>
        <w:pStyle w:val="Compact"/>
      </w:pPr>
      <w:r>
        <w:rPr>
          <w:lang w:val="en"/>
        </w:rPr>
        <w:t xml:space="preserve">¶6</w:t>
      </w:r>
      <w:r>
        <w:rPr>
          <w:lang w:val="en"/>
        </w:rPr>
        <w:t xml:space="preserve"> </w:t>
      </w:r>
      <w:r>
        <w:rPr>
          <w:bCs/>
          <w:b/>
          <w:lang w:val="en"/>
        </w:rPr>
        <w:t xml:space="preserve">eDNA metabarcoding</w:t>
      </w:r>
      <w:r>
        <w:rPr>
          <w:lang w:val="en"/>
        </w:rPr>
        <w:t xml:space="preserve"> </w:t>
      </w:r>
      <w:r>
        <w:rPr>
          <w:lang w:val="en"/>
        </w:rPr>
        <w:t xml:space="preserve">(12S rRNA for fish; 16S rRNA for bacteria/archaea; CO1 for invertebrates): identifies the species present in a water sample through sequencing. Metabarcoding provides species detection (presence/absence) and species richness or diversity indices (ECT Class B1). Sequence read counts from metabarcoding are used as occupancy proxies but are not reliable relative abundance metrics without careful calibration — read-count ratios are affected by primer efficiency, extraction yield, and PCR amplification bias. Compilers should not report metabarcoding read counts as abundance without explicit calibration evidence.</w:t>
      </w:r>
    </w:p>
    <w:p>
      <w:pPr>
        <w:numPr>
          <w:ilvl w:val="0"/>
          <w:numId w:val="1005"/>
        </w:numPr>
        <w:pStyle w:val="Compact"/>
      </w:pPr>
      <w:r>
        <w:rPr>
          <w:lang w:val="en"/>
        </w:rPr>
        <w:t xml:space="preserve">¶7</w:t>
      </w:r>
      <w:r>
        <w:rPr>
          <w:lang w:val="en"/>
        </w:rPr>
        <w:t xml:space="preserve"> </w:t>
      </w:r>
      <w:r>
        <w:rPr>
          <w:bCs/>
          <w:b/>
          <w:lang w:val="en"/>
        </w:rPr>
        <w:t xml:space="preserve">Quantitative eDNA (qPCR or ddPCR with species-specific primers):</w:t>
      </w:r>
      <w:r>
        <w:rPr>
          <w:lang w:val="en"/>
        </w:rPr>
        <w:t xml:space="preserve"> </w:t>
      </w:r>
      <w:r>
        <w:rPr>
          <w:lang w:val="en"/>
        </w:rPr>
        <w:t xml:space="preserve">provides species-specific eDNA concentration in water, which can correlate with biomass or abundance for target species (ECT Class B2) where calibration studies are available. This workflow requires species-specific primer development and a separate analytical pipeline from metabarcoding.</w:t>
      </w:r>
    </w:p>
    <w:p>
      <w:pPr>
        <w:pStyle w:val="FirstParagraph"/>
      </w:pPr>
      <w:r>
        <w:rPr>
          <w:lang w:val="en"/>
        </w:rPr>
        <w:t xml:space="preserve">¶8</w:t>
      </w:r>
      <w:r>
        <w:rPr>
          <w:lang w:val="en"/>
        </w:rPr>
        <w:t xml:space="preserve"> </w:t>
      </w:r>
      <w:r>
        <w:rPr>
          <w:lang w:val="en"/>
        </w:rPr>
        <w:t xml:space="preserve">Sampling protocols for both approaches should follow OBIS eDNA guidelines.</w:t>
      </w:r>
      <w:hyperlink w:anchor="user-content-fn-13">
        <w:r>
          <w:rPr>
            <w:rStyle w:val="Hyperlink"/>
            <w:vertAlign w:val="superscript"/>
            <w:lang w:val="en"/>
          </w:rPr>
          <w:t xml:space="preserve">8</w:t>
        </w:r>
      </w:hyperlink>
      <w:r>
        <w:rPr>
          <w:lang w:val="en"/>
        </w:rPr>
        <w:t xml:space="preserve"> </w:t>
      </w:r>
      <w:r>
        <w:rPr>
          <w:lang w:val="en"/>
        </w:rPr>
        <w:t xml:space="preserve">Critical quality controls include: field blank samples (contamination check), positive controls (known-species spike), replication (minimum three water samples per site), and preservation in ethanol or CTAB buffer with controlled-temperature shipping. eDNA data should be deposited in OBIS or GBIF to facilitate cross-account comparison.</w:t>
      </w:r>
    </w:p>
    <w:bookmarkStart w:id="83" w:name="Xa35f4dd0263bbfd15c5ac545e087a7cce682804"/>
    <w:p>
      <w:pPr>
        <w:pStyle w:val="Heading4"/>
      </w:pPr>
      <w:r>
        <w:rPr>
          <w:lang w:val="en"/>
        </w:rPr>
        <w:t xml:space="preserve">3.3.2</w:t>
      </w:r>
      <w:r>
        <w:rPr>
          <w:lang w:val="en"/>
        </w:rPr>
        <w:t xml:space="preserve"> </w:t>
      </w:r>
      <w:r>
        <w:rPr>
          <w:lang w:val="en"/>
        </w:rPr>
        <w:t xml:space="preserve">Taxonomic Resolution and Invasive Species</w:t>
      </w:r>
    </w:p>
    <w:p>
      <w:pPr>
        <w:pStyle w:val="FirstParagraph"/>
      </w:pPr>
      <w:hyperlink w:anchor="Xa35f4dd0263bbfd15c5ac545e087a7cce682804">
        <w:r>
          <w:drawing>
            <wp:inline>
              <wp:extent cx="152400" cy="152400"/>
              <wp:effectExtent b="0" l="0" r="0" t="0"/>
              <wp:docPr descr="" title="" id="8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Taxonomic Resolution and Invasive Species”</w:t>
        </w:r>
      </w:hyperlink>
    </w:p>
    <w:bookmarkEnd w:id="83"/>
    <w:p>
      <w:pPr>
        <w:pStyle w:val="BodyText"/>
      </w:pPr>
      <w:r>
        <w:rPr>
          <w:lang w:val="en"/>
        </w:rPr>
        <w:t xml:space="preserve">¶1</w:t>
      </w:r>
      <w:r>
        <w:rPr>
          <w:lang w:val="en"/>
        </w:rPr>
        <w:t xml:space="preserve"> </w:t>
      </w:r>
      <w:r>
        <w:rPr>
          <w:lang w:val="en"/>
        </w:rPr>
        <w:t xml:space="preserve">Biological condition surveys should aim for species-level identification wherever feasible. Where species identification is impractical in the field (e.g., cryptic polychaete taxa, small crustaceans), genus or family-level identification is acceptable, provided this is consistent across time-series measurements and documented in the metadata. Morphospecies categories (e.g., “encrusting coral morphospecies A”) may be used where expertise is limited, but should be flagged as a data quality limitation.</w:t>
      </w:r>
    </w:p>
    <w:p>
      <w:pPr>
        <w:pStyle w:val="BodyText"/>
      </w:pPr>
      <w:r>
        <w:rPr>
          <w:lang w:val="en"/>
        </w:rPr>
        <w:t xml:space="preserve">¶2</w:t>
      </w:r>
      <w:r>
        <w:rPr>
          <w:lang w:val="en"/>
        </w:rPr>
        <w:t xml:space="preserve"> </w:t>
      </w:r>
      <w:r>
        <w:rPr>
          <w:lang w:val="en"/>
        </w:rPr>
        <w:t xml:space="preserve">Non-indigenous species (NIS) should be recorded as a dedicated condition indicator. NIS presence/absence (or relative abundance) is a SEEA EA-recognised biotic pressure indicator and corresponds to EU MSFD Descriptor D2.</w:t>
      </w:r>
      <w:hyperlink w:anchor="user-content-fn-10">
        <w:r>
          <w:rPr>
            <w:rStyle w:val="Hyperlink"/>
            <w:vertAlign w:val="superscript"/>
            <w:lang w:val="en"/>
          </w:rPr>
          <w:t xml:space="preserve">5</w:t>
        </w:r>
      </w:hyperlink>
      <w:r>
        <w:rPr>
          <w:lang w:val="en"/>
        </w:rPr>
        <w:t xml:space="preserve"> </w:t>
      </w:r>
      <w:r>
        <w:rPr>
          <w:lang w:val="en"/>
        </w:rPr>
        <w:t xml:space="preserve">Where a national NIS database exists, cross-reference occurrence records to validate field identifications. NIS data should also be reported to OBIS where feasible.</w:t>
      </w:r>
    </w:p>
    <w:bookmarkStart w:id="86" w:name="X2446b6e397540ec09ff49ed70521920e9f181b5"/>
    <w:p>
      <w:pPr>
        <w:pStyle w:val="Heading4"/>
      </w:pPr>
      <w:r>
        <w:rPr>
          <w:lang w:val="en"/>
        </w:rPr>
        <w:t xml:space="preserve">3.3.3</w:t>
      </w:r>
      <w:r>
        <w:rPr>
          <w:lang w:val="en"/>
        </w:rPr>
        <w:t xml:space="preserve"> </w:t>
      </w:r>
      <w:r>
        <w:rPr>
          <w:lang w:val="en"/>
        </w:rPr>
        <w:t xml:space="preserve">Remote Sensing Contributions</w:t>
      </w:r>
    </w:p>
    <w:p>
      <w:pPr>
        <w:pStyle w:val="FirstParagraph"/>
      </w:pPr>
      <w:hyperlink w:anchor="X2446b6e397540ec09ff49ed70521920e9f181b5">
        <w:r>
          <w:drawing>
            <wp:inline>
              <wp:extent cx="152400" cy="152400"/>
              <wp:effectExtent b="0" l="0" r="0" t="0"/>
              <wp:docPr descr="" title="" id="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Remote Sensing Contributions”</w:t>
        </w:r>
      </w:hyperlink>
    </w:p>
    <w:bookmarkEnd w:id="86"/>
    <w:p>
      <w:pPr>
        <w:pStyle w:val="BodyText"/>
      </w:pPr>
      <w:r>
        <w:rPr>
          <w:lang w:val="en"/>
        </w:rPr>
        <w:t xml:space="preserve">¶1</w:t>
      </w:r>
      <w:r>
        <w:rPr>
          <w:lang w:val="en"/>
        </w:rPr>
        <w:t xml:space="preserve"> </w:t>
      </w:r>
      <w:r>
        <w:rPr>
          <w:lang w:val="en"/>
        </w:rPr>
        <w:t xml:space="preserve">Remote sensing provides spatial coverage for biological condition monitoring that is not achievable with in-situ surveys alone. Key remote sensing products for biological condition include:</w:t>
      </w:r>
    </w:p>
    <w:p>
      <w:pPr>
        <w:numPr>
          <w:ilvl w:val="0"/>
          <w:numId w:val="1006"/>
        </w:numPr>
        <w:pStyle w:val="Compact"/>
      </w:pPr>
      <w:r>
        <w:rPr>
          <w:lang w:val="en"/>
        </w:rPr>
        <w:t xml:space="preserve">¶2</w:t>
      </w:r>
      <w:r>
        <w:rPr>
          <w:lang w:val="en"/>
        </w:rPr>
        <w:t xml:space="preserve"> </w:t>
      </w:r>
      <w:r>
        <w:rPr>
          <w:bCs/>
          <w:b/>
          <w:lang w:val="en"/>
        </w:rPr>
        <w:t xml:space="preserve">Seagrass and mangrove extent:</w:t>
      </w:r>
      <w:r>
        <w:rPr>
          <w:lang w:val="en"/>
        </w:rPr>
        <w:t xml:space="preserve"> </w:t>
      </w:r>
      <w:r>
        <w:rPr>
          <w:lang w:val="en"/>
        </w:rPr>
        <w:t xml:space="preserve">Sentinel-2 multispectral imagery (10 m resolution) can map seagrass and mangrove canopy cover with appropriate water column correction and training data. Global Mangrove Watch (JAXA ALOS-2 SAR) provides national mangrove area and canopy cover baselines. Cross-reference</w:t>
      </w:r>
      <w:r>
        <w:rPr>
          <w:lang w:val="en"/>
        </w:rPr>
        <w:t xml:space="preserve"> </w:t>
      </w:r>
      <w:hyperlink r:id="rId87">
        <w:r>
          <w:rPr>
            <w:rStyle w:val="Hyperlink"/>
            <w:lang w:val="en"/>
          </w:rPr>
          <w:t xml:space="preserve">TG-4.1 Remote Sensing and Geospatial Data</w:t>
        </w:r>
      </w:hyperlink>
      <w:r>
        <w:rPr>
          <w:lang w:val="en"/>
        </w:rPr>
        <w:t xml:space="preserve"> </w:t>
      </w:r>
      <w:r>
        <w:rPr>
          <w:lang w:val="en"/>
        </w:rPr>
        <w:t xml:space="preserve">for processing guidance.</w:t>
      </w:r>
    </w:p>
    <w:p>
      <w:pPr>
        <w:numPr>
          <w:ilvl w:val="0"/>
          <w:numId w:val="1006"/>
        </w:numPr>
        <w:pStyle w:val="Compact"/>
      </w:pPr>
      <w:r>
        <w:rPr>
          <w:lang w:val="en"/>
        </w:rPr>
        <w:t xml:space="preserve">¶3</w:t>
      </w:r>
      <w:r>
        <w:rPr>
          <w:lang w:val="en"/>
        </w:rPr>
        <w:t xml:space="preserve"> </w:t>
      </w:r>
      <w:r>
        <w:rPr>
          <w:bCs/>
          <w:b/>
          <w:lang w:val="en"/>
        </w:rPr>
        <w:t xml:space="preserve">Phytoplankton biomass:</w:t>
      </w:r>
      <w:r>
        <w:rPr>
          <w:lang w:val="en"/>
        </w:rPr>
        <w:t xml:space="preserve"> </w:t>
      </w:r>
      <w:r>
        <w:rPr>
          <w:lang w:val="en"/>
        </w:rPr>
        <w:t xml:space="preserve">Ocean colour sensors (MODIS Aqua, Sentinel-3 OLCI) provide chlorophyll-a concentration as a proxy for phytoplankton biomass. Monthly composites at 1—4 km resolution are available globally, and regional 300 m resolution products are available for coastal areas. Chlorophyll-a data should be validated against in-situ fluorometry or water samples where feasible.</w:t>
      </w:r>
    </w:p>
    <w:p>
      <w:pPr>
        <w:numPr>
          <w:ilvl w:val="0"/>
          <w:numId w:val="1006"/>
        </w:numPr>
        <w:pStyle w:val="Compact"/>
      </w:pPr>
      <w:r>
        <w:rPr>
          <w:lang w:val="en"/>
        </w:rPr>
        <w:t xml:space="preserve">¶4</w:t>
      </w:r>
      <w:r>
        <w:rPr>
          <w:lang w:val="en"/>
        </w:rPr>
        <w:t xml:space="preserve"> </w:t>
      </w:r>
      <w:r>
        <w:rPr>
          <w:bCs/>
          <w:b/>
          <w:lang w:val="en"/>
        </w:rPr>
        <w:t xml:space="preserve">Coral reef bleaching and thermal stress:</w:t>
      </w:r>
      <w:r>
        <w:rPr>
          <w:lang w:val="en"/>
        </w:rPr>
        <w:t xml:space="preserve"> </w:t>
      </w:r>
      <w:r>
        <w:rPr>
          <w:lang w:val="en"/>
        </w:rPr>
        <w:t xml:space="preserve">NOAA Coral Reef Watch Degree Heating Week (DHW) products provide near-real-time and archive thermal stress data that can be used to document bleaching events. Satellite-based bleaching assessment from high-resolution imagery (Planet, WorldView) is emerging as a complement to in-situ bleaching surveys.</w:t>
      </w:r>
    </w:p>
    <w:p>
      <w:pPr>
        <w:pStyle w:val="FirstParagraph"/>
      </w:pPr>
      <w:r>
        <w:rPr>
          <w:lang w:val="en"/>
        </w:rPr>
        <w:t xml:space="preserve">¶5</w:t>
      </w:r>
      <w:r>
        <w:rPr>
          <w:lang w:val="en"/>
        </w:rPr>
        <w:t xml:space="preserve"> </w:t>
      </w:r>
      <w:r>
        <w:rPr>
          <w:lang w:val="en"/>
        </w:rPr>
        <w:t xml:space="preserve">Remote sensing products should be validated against in-situ data before use in accounts. Accuracy assessments should be documented per the QA requirements in</w:t>
      </w:r>
      <w:r>
        <w:rPr>
          <w:lang w:val="en"/>
        </w:rPr>
        <w:t xml:space="preserve"> </w:t>
      </w:r>
      <w:hyperlink r:id="rId43">
        <w:r>
          <w:rPr>
            <w:rStyle w:val="Hyperlink"/>
            <w:lang w:val="en"/>
          </w:rPr>
          <w:t xml:space="preserve">TG-0.7 Quality Assurance Principles</w:t>
        </w:r>
      </w:hyperlink>
      <w:r>
        <w:rPr>
          <w:lang w:val="en"/>
        </w:rPr>
        <w:t xml:space="preserve">.</w:t>
      </w:r>
    </w:p>
    <w:bookmarkStart w:id="90" w:name="Xd82590fd8f94baaa67d29517745c63588671f9c"/>
    <w:p>
      <w:pPr>
        <w:pStyle w:val="Heading4"/>
      </w:pPr>
      <w:r>
        <w:rPr>
          <w:lang w:val="en"/>
        </w:rPr>
        <w:t xml:space="preserve">3.3.4</w:t>
      </w:r>
      <w:r>
        <w:rPr>
          <w:lang w:val="en"/>
        </w:rPr>
        <w:t xml:space="preserve"> </w:t>
      </w:r>
      <w:r>
        <w:rPr>
          <w:lang w:val="en"/>
        </w:rPr>
        <w:t xml:space="preserve">Citizen Science Integration</w:t>
      </w:r>
    </w:p>
    <w:p>
      <w:pPr>
        <w:pStyle w:val="FirstParagraph"/>
      </w:pPr>
      <w:hyperlink w:anchor="Xd82590fd8f94baaa67d29517745c63588671f9c">
        <w:r>
          <w:drawing>
            <wp:inline>
              <wp:extent cx="152400" cy="152400"/>
              <wp:effectExtent b="0" l="0" r="0" t="0"/>
              <wp:docPr descr="" title="" id="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“3.3.4 Citizen Science Integration”</w:t>
        </w:r>
      </w:hyperlink>
    </w:p>
    <w:bookmarkEnd w:id="90"/>
    <w:p>
      <w:pPr>
        <w:pStyle w:val="BodyText"/>
      </w:pPr>
      <w:r>
        <w:rPr>
          <w:lang w:val="en"/>
        </w:rPr>
        <w:t xml:space="preserve">¶1</w:t>
      </w:r>
      <w:r>
        <w:rPr>
          <w:lang w:val="en"/>
        </w:rPr>
        <w:t xml:space="preserve"> </w:t>
      </w:r>
      <w:r>
        <w:rPr>
          <w:lang w:val="en"/>
        </w:rPr>
        <w:t xml:space="preserve">Citizen science data (collected under protocols governed by</w:t>
      </w:r>
      <w:r>
        <w:rPr>
          <w:lang w:val="en"/>
        </w:rPr>
        <w:t xml:space="preserve"> </w:t>
      </w:r>
      <w:hyperlink r:id="rId29">
        <w:r>
          <w:rPr>
            <w:rStyle w:val="Hyperlink"/>
            <w:lang w:val="en"/>
          </w:rPr>
          <w:t xml:space="preserve">TG-4.4 Citizen Science and Community-Based Monitoring</w:t>
        </w:r>
      </w:hyperlink>
      <w:r>
        <w:rPr>
          <w:lang w:val="en"/>
        </w:rPr>
        <w:t xml:space="preserve">) may supply biological condition variables including:</w:t>
      </w:r>
    </w:p>
    <w:p>
      <w:pPr>
        <w:numPr>
          <w:ilvl w:val="0"/>
          <w:numId w:val="1007"/>
        </w:numPr>
        <w:pStyle w:val="Compact"/>
      </w:pPr>
      <w:r>
        <w:rPr>
          <w:lang w:val="en"/>
        </w:rPr>
        <w:t xml:space="preserve">¶2</w:t>
      </w:r>
      <w:r>
        <w:rPr>
          <w:lang w:val="en"/>
        </w:rPr>
        <w:t xml:space="preserve"> </w:t>
      </w:r>
      <w:r>
        <w:rPr>
          <w:lang w:val="en"/>
        </w:rPr>
        <w:t xml:space="preserve">Reef fish species occurrence and relative abundance (Reef Life Survey,</w:t>
      </w:r>
      <w:hyperlink w:anchor="user-content-fn-14">
        <w:r>
          <w:rPr>
            <w:rStyle w:val="Hyperlink"/>
            <w:vertAlign w:val="superscript"/>
            <w:lang w:val="en"/>
          </w:rPr>
          <w:t xml:space="preserve">9</w:t>
        </w:r>
      </w:hyperlink>
      <w:r>
        <w:rPr>
          <w:lang w:val="en"/>
        </w:rPr>
        <w:t xml:space="preserve"> </w:t>
      </w:r>
      <w:r>
        <w:rPr>
          <w:lang w:val="en"/>
        </w:rPr>
        <w:t xml:space="preserve">REEF Volunteer Survey)</w:t>
      </w:r>
    </w:p>
    <w:p>
      <w:pPr>
        <w:numPr>
          <w:ilvl w:val="0"/>
          <w:numId w:val="1007"/>
        </w:numPr>
        <w:pStyle w:val="Compact"/>
      </w:pPr>
      <w:r>
        <w:rPr>
          <w:lang w:val="en"/>
        </w:rPr>
        <w:t xml:space="preserve">¶3</w:t>
      </w:r>
      <w:r>
        <w:rPr>
          <w:lang w:val="en"/>
        </w:rPr>
        <w:t xml:space="preserve"> </w:t>
      </w:r>
      <w:r>
        <w:rPr>
          <w:lang w:val="en"/>
        </w:rPr>
        <w:t xml:space="preserve">Coral condition and bleaching (CoralWatch, Reef Check — trained observer tiers)</w:t>
      </w:r>
    </w:p>
    <w:p>
      <w:pPr>
        <w:numPr>
          <w:ilvl w:val="0"/>
          <w:numId w:val="1007"/>
        </w:numPr>
        <w:pStyle w:val="Compact"/>
      </w:pPr>
      <w:r>
        <w:rPr>
          <w:lang w:val="en"/>
        </w:rPr>
        <w:t xml:space="preserve">¶4</w:t>
      </w:r>
      <w:r>
        <w:rPr>
          <w:lang w:val="en"/>
        </w:rPr>
        <w:t xml:space="preserve"> </w:t>
      </w:r>
      <w:r>
        <w:rPr>
          <w:lang w:val="en"/>
        </w:rPr>
        <w:t xml:space="preserve">Species occurrence records (iNaturalist, eBird marine species)</w:t>
      </w:r>
    </w:p>
    <w:p>
      <w:pPr>
        <w:numPr>
          <w:ilvl w:val="0"/>
          <w:numId w:val="1007"/>
        </w:numPr>
        <w:pStyle w:val="Compact"/>
      </w:pPr>
      <w:r>
        <w:rPr>
          <w:lang w:val="en"/>
        </w:rPr>
        <w:t xml:space="preserve">¶5</w:t>
      </w:r>
      <w:r>
        <w:rPr>
          <w:lang w:val="en"/>
        </w:rPr>
        <w:t xml:space="preserve"> </w:t>
      </w:r>
      <w:r>
        <w:rPr>
          <w:lang w:val="en"/>
        </w:rPr>
        <w:t xml:space="preserve">eDNA water samples (community eDNA programmes)</w:t>
      </w:r>
    </w:p>
    <w:p>
      <w:pPr>
        <w:pStyle w:val="FirstParagraph"/>
      </w:pPr>
      <w:r>
        <w:rPr>
          <w:lang w:val="en"/>
        </w:rPr>
        <w:t xml:space="preserve">¶6</w:t>
      </w:r>
      <w:r>
        <w:rPr>
          <w:lang w:val="en"/>
        </w:rPr>
        <w:t xml:space="preserve"> </w:t>
      </w:r>
      <w:r>
        <w:rPr>
          <w:lang w:val="en"/>
        </w:rPr>
        <w:t xml:space="preserve">Before integrating citizen science data into condition indicators, compilers should apply the quality control tiers defined in TG-4.4 and assess whether the spatial and temporal coverage is sufficient to represent the accounting unit. Where citizen science data are aggregated with professional survey data, the data source should be recorded as a metadata field for each account row.</w:t>
      </w:r>
    </w:p>
    <w:bookmarkStart w:id="93" w:name="X88dd1fef2ed9ab05c8350b9afde5416389b7663"/>
    <w:p>
      <w:pPr>
        <w:pStyle w:val="Heading4"/>
      </w:pPr>
      <w:r>
        <w:rPr>
          <w:lang w:val="en"/>
        </w:rPr>
        <w:t xml:space="preserve">3.3.5</w:t>
      </w:r>
      <w:r>
        <w:rPr>
          <w:lang w:val="en"/>
        </w:rPr>
        <w:t xml:space="preserve"> </w:t>
      </w:r>
      <w:r>
        <w:rPr>
          <w:lang w:val="en"/>
        </w:rPr>
        <w:t xml:space="preserve">Biotic Survey SOP References</w:t>
      </w:r>
    </w:p>
    <w:p>
      <w:pPr>
        <w:pStyle w:val="FirstParagraph"/>
      </w:pPr>
      <w:hyperlink w:anchor="X88dd1fef2ed9ab05c8350b9afde5416389b7663">
        <w:r>
          <w:drawing>
            <wp:inline>
              <wp:extent cx="152400" cy="152400"/>
              <wp:effectExtent b="0" l="0" r="0" t="0"/>
              <wp:docPr descr="" title="" id="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“3.3.5 Biotic Survey SOP References”</w:t>
        </w:r>
      </w:hyperlink>
    </w:p>
    <w:bookmarkEnd w:id="93"/>
    <w:p>
      <w:pPr>
        <w:pStyle w:val="BodyText"/>
      </w:pPr>
      <w:r>
        <w:rPr>
          <w:lang w:val="en"/>
        </w:rPr>
        <w:t xml:space="preserve">¶1</w:t>
      </w:r>
      <w:r>
        <w:rPr>
          <w:lang w:val="en"/>
        </w:rPr>
        <w:t xml:space="preserve"> </w:t>
      </w:r>
      <w:r>
        <w:rPr>
          <w:lang w:val="en"/>
        </w:rPr>
        <w:t xml:space="preserve">The methods above (§3.3.1—3.3.4) describe survey families. Field implementation should follow a published, standardised protocol for the ecosystem × indicator pair being measured. Compilers should cite the SOP applied in account metadata, and document any departure (sample design, gear, replication, taxonomic resolution) against the cited reference. Indicators selected per §3.2 map to the protocols below.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Ecosystem / target</w:t>
            </w:r>
          </w:p>
        </w:tc>
        <w:tc>
          <w:tcPr/>
          <w:p>
            <w:pPr>
              <w:pStyle w:val="Compact"/>
              <w:jc w:val="left"/>
            </w:pPr>
            <w:r>
              <w:rPr>
                <w:lang w:val="en"/>
              </w:rPr>
              <w:t xml:space="preserve">Indicator</w:t>
            </w:r>
          </w:p>
        </w:tc>
        <w:tc>
          <w:tcPr/>
          <w:p>
            <w:pPr>
              <w:pStyle w:val="Compact"/>
              <w:jc w:val="left"/>
            </w:pPr>
            <w:r>
              <w:rPr>
                <w:lang w:val="en"/>
              </w:rPr>
              <w:t xml:space="preserve">Standard protocol</w:t>
            </w:r>
          </w:p>
        </w:tc>
        <w:tc>
          <w:tcPr/>
          <w:p>
            <w:pPr>
              <w:pStyle w:val="Compact"/>
              <w:jc w:val="left"/>
            </w:pPr>
            <w:r>
              <w:rPr>
                <w:lang w:val="en"/>
              </w:rPr>
              <w:t xml:space="preserve">Source</w:t>
            </w:r>
          </w:p>
        </w:tc>
      </w:tr>
      <w:tr>
        <w:tc>
          <w:tcPr/>
          <w:p>
            <w:pPr>
              <w:pStyle w:val="Compact"/>
              <w:jc w:val="left"/>
            </w:pPr>
            <w:r>
              <w:rPr>
                <w:lang w:val="en"/>
              </w:rPr>
              <w:t xml:space="preserve">Coral reef benthic</w:t>
            </w:r>
          </w:p>
        </w:tc>
        <w:tc>
          <w:tcPr/>
          <w:p>
            <w:pPr>
              <w:pStyle w:val="Compact"/>
              <w:jc w:val="left"/>
            </w:pPr>
            <w:r>
              <w:rPr>
                <w:lang w:val="en"/>
              </w:rPr>
              <w:t xml:space="preserve">Live coral cover, substrate composition</w:t>
            </w:r>
          </w:p>
        </w:tc>
        <w:tc>
          <w:tcPr/>
          <w:p>
            <w:pPr>
              <w:pStyle w:val="Compact"/>
              <w:jc w:val="left"/>
            </w:pPr>
            <w:r>
              <w:rPr>
                <w:lang w:val="en"/>
              </w:rPr>
              <w:t xml:space="preserve">Line-intercept transect / point-contact</w:t>
            </w:r>
          </w:p>
        </w:tc>
        <w:tc>
          <w:tcPr/>
          <w:p>
            <w:pPr>
              <w:pStyle w:val="Compact"/>
              <w:jc w:val="left"/>
            </w:pPr>
            <w:r>
              <w:rPr>
                <w:lang w:val="en"/>
              </w:rPr>
              <w:t xml:space="preserve">GCRMN Methods Manual (2nd ed., 2021);</w:t>
            </w:r>
            <w:hyperlink w:anchor="user-content-fn-11">
              <w:r>
                <w:rPr>
                  <w:rStyle w:val="Hyperlink"/>
                  <w:vertAlign w:val="superscript"/>
                  <w:lang w:val="en"/>
                </w:rPr>
                <w:t xml:space="preserve">6</w:t>
              </w:r>
            </w:hyperlink>
            <w:r>
              <w:rPr>
                <w:lang w:val="en"/>
              </w:rPr>
              <w:t xml:space="preserve"> </w:t>
            </w:r>
            <w:r>
              <w:rPr>
                <w:lang w:val="en"/>
              </w:rPr>
              <w:t xml:space="preserve">AIMS Long-Term Monitoring Program</w:t>
            </w:r>
            <w:hyperlink w:anchor="user-content-fn-15">
              <w:r>
                <w:rPr>
                  <w:rStyle w:val="Hyperlink"/>
                  <w:vertAlign w:val="superscript"/>
                  <w:lang w:val="en"/>
                </w:rPr>
                <w:t xml:space="preserve">10</w:t>
              </w:r>
            </w:hyperlink>
          </w:p>
        </w:tc>
      </w:tr>
      <w:tr>
        <w:tc>
          <w:tcPr/>
          <w:p>
            <w:pPr>
              <w:pStyle w:val="Compact"/>
              <w:jc w:val="left"/>
            </w:pPr>
            <w:r>
              <w:rPr>
                <w:lang w:val="en"/>
              </w:rPr>
              <w:t xml:space="preserve">Coral reef fish</w:t>
            </w:r>
          </w:p>
        </w:tc>
        <w:tc>
          <w:tcPr/>
          <w:p>
            <w:pPr>
              <w:pStyle w:val="Compact"/>
              <w:jc w:val="left"/>
            </w:pPr>
            <w:r>
              <w:rPr>
                <w:lang w:val="en"/>
              </w:rPr>
              <w:t xml:space="preserve">Reef fish biomass, species composition</w:t>
            </w:r>
          </w:p>
        </w:tc>
        <w:tc>
          <w:tcPr/>
          <w:p>
            <w:pPr>
              <w:pStyle w:val="Compact"/>
              <w:jc w:val="left"/>
            </w:pPr>
            <w:r>
              <w:rPr>
                <w:lang w:val="en"/>
              </w:rPr>
              <w:t xml:space="preserve">Belt transect (50 m × 5 m) underwater visual census</w:t>
            </w:r>
          </w:p>
        </w:tc>
        <w:tc>
          <w:tcPr/>
          <w:p>
            <w:pPr>
              <w:pStyle w:val="Compact"/>
              <w:jc w:val="left"/>
            </w:pPr>
            <w:r>
              <w:rPr>
                <w:lang w:val="en"/>
              </w:rPr>
              <w:t xml:space="preserve">GCRMN fish module;</w:t>
            </w:r>
            <w:hyperlink w:anchor="user-content-fn-11">
              <w:r>
                <w:rPr>
                  <w:rStyle w:val="Hyperlink"/>
                  <w:vertAlign w:val="superscript"/>
                  <w:lang w:val="en"/>
                </w:rPr>
                <w:t xml:space="preserve">6</w:t>
              </w:r>
            </w:hyperlink>
            <w:r>
              <w:rPr>
                <w:lang w:val="en"/>
              </w:rPr>
              <w:t xml:space="preserve"> </w:t>
            </w:r>
            <w:r>
              <w:rPr>
                <w:lang w:val="en"/>
              </w:rPr>
              <w:t xml:space="preserve">Reef Life Survey</w:t>
            </w:r>
            <w:hyperlink w:anchor="user-content-fn-14">
              <w:r>
                <w:rPr>
                  <w:rStyle w:val="Hyperlink"/>
                  <w:vertAlign w:val="superscript"/>
                  <w:lang w:val="en"/>
                </w:rPr>
                <w:t xml:space="preserve">9</w:t>
              </w:r>
            </w:hyperlink>
          </w:p>
        </w:tc>
      </w:tr>
      <w:tr>
        <w:tc>
          <w:tcPr/>
          <w:p>
            <w:pPr>
              <w:pStyle w:val="Compact"/>
              <w:jc w:val="left"/>
            </w:pPr>
            <w:r>
              <w:rPr>
                <w:lang w:val="en"/>
              </w:rPr>
              <w:t xml:space="preserve">Coral reef invertebrates</w:t>
            </w:r>
          </w:p>
        </w:tc>
        <w:tc>
          <w:tcPr/>
          <w:p>
            <w:pPr>
              <w:pStyle w:val="Compact"/>
              <w:jc w:val="left"/>
            </w:pPr>
            <w:r>
              <w:rPr>
                <w:lang w:val="en"/>
              </w:rPr>
              <w:t xml:space="preserve">Macroinvertebrate density</w:t>
            </w:r>
          </w:p>
        </w:tc>
        <w:tc>
          <w:tcPr/>
          <w:p>
            <w:pPr>
              <w:pStyle w:val="Compact"/>
              <w:jc w:val="left"/>
            </w:pPr>
            <w:r>
              <w:rPr>
                <w:lang w:val="en"/>
              </w:rPr>
              <w:t xml:space="preserve">Belt transect (50 m × 2 m)</w:t>
            </w:r>
          </w:p>
        </w:tc>
        <w:tc>
          <w:tcPr/>
          <w:p>
            <w:pPr>
              <w:pStyle w:val="Compact"/>
              <w:jc w:val="left"/>
            </w:pPr>
            <w:r>
              <w:rPr>
                <w:lang w:val="en"/>
              </w:rPr>
              <w:t xml:space="preserve">GCRMN invertebrate module;</w:t>
            </w:r>
            <w:hyperlink w:anchor="user-content-fn-11">
              <w:r>
                <w:rPr>
                  <w:rStyle w:val="Hyperlink"/>
                  <w:vertAlign w:val="superscript"/>
                  <w:lang w:val="en"/>
                </w:rPr>
                <w:t xml:space="preserve">6</w:t>
              </w:r>
            </w:hyperlink>
            <w:r>
              <w:rPr>
                <w:lang w:val="en"/>
              </w:rPr>
              <w:t xml:space="preserve"> </w:t>
            </w:r>
            <w:r>
              <w:rPr>
                <w:lang w:val="en"/>
              </w:rPr>
              <w:t xml:space="preserve">Reef Check</w:t>
            </w:r>
            <w:hyperlink w:anchor="user-content-fn-16">
              <w:r>
                <w:rPr>
                  <w:rStyle w:val="Hyperlink"/>
                  <w:vertAlign w:val="superscript"/>
                  <w:lang w:val="en"/>
                </w:rPr>
                <w:t xml:space="preserve">11</w:t>
              </w:r>
            </w:hyperlink>
          </w:p>
        </w:tc>
      </w:tr>
      <w:tr>
        <w:tc>
          <w:tcPr/>
          <w:p>
            <w:pPr>
              <w:pStyle w:val="Compact"/>
              <w:jc w:val="left"/>
            </w:pPr>
            <w:r>
              <w:rPr>
                <w:lang w:val="en"/>
              </w:rPr>
              <w:t xml:space="preserve">Seagrass meadow</w:t>
            </w:r>
          </w:p>
        </w:tc>
        <w:tc>
          <w:tcPr/>
          <w:p>
            <w:pPr>
              <w:pStyle w:val="Compact"/>
              <w:jc w:val="left"/>
            </w:pPr>
            <w:r>
              <w:rPr>
                <w:lang w:val="en"/>
              </w:rPr>
              <w:t xml:space="preserve">Shoot density, cover, canopy height</w:t>
            </w:r>
          </w:p>
        </w:tc>
        <w:tc>
          <w:tcPr/>
          <w:p>
            <w:pPr>
              <w:pStyle w:val="Compact"/>
              <w:jc w:val="left"/>
            </w:pPr>
            <w:r>
              <w:rPr>
                <w:lang w:val="en"/>
              </w:rPr>
              <w:t xml:space="preserve">Quadrat sampling (0.25 m²) along fixed transects</w:t>
            </w:r>
          </w:p>
        </w:tc>
        <w:tc>
          <w:tcPr/>
          <w:p>
            <w:pPr>
              <w:pStyle w:val="Compact"/>
              <w:jc w:val="left"/>
            </w:pPr>
            <w:r>
              <w:rPr>
                <w:lang w:val="en"/>
              </w:rPr>
              <w:t xml:space="preserve">SeagrassNet Manual (Short et al. 2001)</w:t>
            </w:r>
            <w:hyperlink w:anchor="user-content-fn-12">
              <w:r>
                <w:rPr>
                  <w:rStyle w:val="Hyperlink"/>
                  <w:vertAlign w:val="superscript"/>
                  <w:lang w:val="en"/>
                </w:rPr>
                <w:t xml:space="preserve">7</w:t>
              </w:r>
            </w:hyperlink>
          </w:p>
        </w:tc>
      </w:tr>
      <w:tr>
        <w:tc>
          <w:tcPr/>
          <w:p>
            <w:pPr>
              <w:pStyle w:val="Compact"/>
              <w:jc w:val="left"/>
            </w:pPr>
            <w:r>
              <w:rPr>
                <w:lang w:val="en"/>
              </w:rPr>
              <w:t xml:space="preserve">Mangrove forest</w:t>
            </w:r>
          </w:p>
        </w:tc>
        <w:tc>
          <w:tcPr/>
          <w:p>
            <w:pPr>
              <w:pStyle w:val="Compact"/>
              <w:jc w:val="left"/>
            </w:pPr>
            <w:r>
              <w:rPr>
                <w:lang w:val="en"/>
              </w:rPr>
              <w:t xml:space="preserve">Stem density, basal area, canopy cover</w:t>
            </w:r>
          </w:p>
        </w:tc>
        <w:tc>
          <w:tcPr/>
          <w:p>
            <w:pPr>
              <w:pStyle w:val="Compact"/>
              <w:jc w:val="left"/>
            </w:pPr>
            <w:r>
              <w:rPr>
                <w:lang w:val="en"/>
              </w:rPr>
              <w:t xml:space="preserve">Fixed-area plots (10 m × 10 m or larger)</w:t>
            </w:r>
          </w:p>
        </w:tc>
        <w:tc>
          <w:tcPr/>
          <w:p>
            <w:pPr>
              <w:pStyle w:val="Compact"/>
              <w:jc w:val="left"/>
            </w:pPr>
            <w:r>
              <w:rPr>
                <w:lang w:val="en"/>
              </w:rPr>
              <w:t xml:space="preserve">Kauffman &amp; Donato (2012) CIFOR mangrove protocol</w:t>
            </w:r>
            <w:hyperlink w:anchor="user-content-fn-17">
              <w:r>
                <w:rPr>
                  <w:rStyle w:val="Hyperlink"/>
                  <w:vertAlign w:val="superscript"/>
                  <w:lang w:val="en"/>
                </w:rPr>
                <w:t xml:space="preserve">12</w:t>
              </w:r>
            </w:hyperlink>
          </w:p>
        </w:tc>
      </w:tr>
      <w:tr>
        <w:tc>
          <w:tcPr/>
          <w:p>
            <w:pPr>
              <w:pStyle w:val="Compact"/>
              <w:jc w:val="left"/>
            </w:pPr>
            <w:r>
              <w:rPr>
                <w:lang w:val="en"/>
              </w:rPr>
              <w:t xml:space="preserve">Soft-sediment benthos</w:t>
            </w:r>
          </w:p>
        </w:tc>
        <w:tc>
          <w:tcPr/>
          <w:p>
            <w:pPr>
              <w:pStyle w:val="Compact"/>
              <w:jc w:val="left"/>
            </w:pPr>
            <w:r>
              <w:rPr>
                <w:lang w:val="en"/>
              </w:rPr>
              <w:t xml:space="preserve">Macroinvertebrate diversity, biomass</w:t>
            </w:r>
          </w:p>
        </w:tc>
        <w:tc>
          <w:tcPr/>
          <w:p>
            <w:pPr>
              <w:pStyle w:val="Compact"/>
              <w:jc w:val="left"/>
            </w:pPr>
            <w:r>
              <w:rPr>
                <w:lang w:val="en"/>
              </w:rPr>
              <w:t xml:space="preserve">Grab/core sampling with sieving (≥0.5 mm mesh)</w:t>
            </w:r>
          </w:p>
        </w:tc>
        <w:tc>
          <w:tcPr/>
          <w:p>
            <w:pPr>
              <w:pStyle w:val="Compact"/>
              <w:jc w:val="left"/>
            </w:pPr>
            <w:r>
              <w:rPr>
                <w:lang w:val="en"/>
              </w:rPr>
              <w:t xml:space="preserve">ISO 16665:2014;</w:t>
            </w:r>
            <w:hyperlink w:anchor="user-content-fn-18">
              <w:r>
                <w:rPr>
                  <w:rStyle w:val="Hyperlink"/>
                  <w:vertAlign w:val="superscript"/>
                  <w:lang w:val="en"/>
                </w:rPr>
                <w:t xml:space="preserve">13</w:t>
              </w:r>
            </w:hyperlink>
            <w:r>
              <w:rPr>
                <w:lang w:val="en"/>
              </w:rPr>
              <w:t xml:space="preserve"> </w:t>
            </w:r>
            <w:r>
              <w:rPr>
                <w:lang w:val="en"/>
              </w:rPr>
              <w:t xml:space="preserve">ICES benthos WG protocols</w:t>
            </w:r>
          </w:p>
        </w:tc>
      </w:tr>
    </w:tbl>
    <w:bookmarkStart w:id="96" w:name="Xf4e7331081c61d412895c47d4529a9d085e4dbf"/>
    <w:p>
      <w:pPr>
        <w:pStyle w:val="Heading4"/>
      </w:pPr>
      <w:r>
        <w:rPr>
          <w:lang w:val="en"/>
        </w:rPr>
        <w:t xml:space="preserve">3.3.6</w:t>
      </w:r>
      <w:r>
        <w:rPr>
          <w:lang w:val="en"/>
        </w:rPr>
        <w:t xml:space="preserve"> </w:t>
      </w:r>
      <w:r>
        <w:rPr>
          <w:lang w:val="en"/>
        </w:rPr>
        <w:t xml:space="preserve">Quality Control Requirements</w:t>
      </w:r>
    </w:p>
    <w:p>
      <w:pPr>
        <w:pStyle w:val="FirstParagraph"/>
      </w:pPr>
      <w:hyperlink w:anchor="Xf4e7331081c61d412895c47d4529a9d085e4dbf">
        <w:r>
          <w:drawing>
            <wp:inline>
              <wp:extent cx="152400" cy="152400"/>
              <wp:effectExtent b="0" l="0" r="0" t="0"/>
              <wp:docPr descr="" title="" id="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“3.3.6 Quality Control Requirements”</w:t>
        </w:r>
      </w:hyperlink>
    </w:p>
    <w:bookmarkEnd w:id="96"/>
    <w:p>
      <w:pPr>
        <w:pStyle w:val="BodyText"/>
      </w:pPr>
      <w:r>
        <w:rPr>
          <w:lang w:val="en"/>
        </w:rPr>
        <w:t xml:space="preserve">¶1</w:t>
      </w:r>
      <w:r>
        <w:rPr>
          <w:lang w:val="en"/>
        </w:rPr>
        <w:t xml:space="preserve"> </w:t>
      </w:r>
      <w:r>
        <w:rPr>
          <w:lang w:val="en"/>
        </w:rPr>
        <w:t xml:space="preserve">Apply the QA framework in</w:t>
      </w:r>
      <w:r>
        <w:rPr>
          <w:lang w:val="en"/>
        </w:rPr>
        <w:t xml:space="preserve"> </w:t>
      </w:r>
      <w:hyperlink r:id="rId43">
        <w:r>
          <w:rPr>
            <w:rStyle w:val="Hyperlink"/>
            <w:bCs/>
            <w:b/>
            <w:lang w:val="en"/>
          </w:rPr>
          <w:t xml:space="preserve">TG-0.7</w:t>
        </w:r>
      </w:hyperlink>
      <w:r>
        <w:rPr>
          <w:lang w:val="en"/>
        </w:rPr>
        <w:t xml:space="preserve">. Bio-specific requirements:</w:t>
      </w:r>
    </w:p>
    <w:p>
      <w:pPr>
        <w:numPr>
          <w:ilvl w:val="0"/>
          <w:numId w:val="1008"/>
        </w:numPr>
        <w:pStyle w:val="Compact"/>
      </w:pPr>
      <w:r>
        <w:rPr>
          <w:lang w:val="en"/>
        </w:rPr>
        <w:t xml:space="preserve">¶2</w:t>
      </w:r>
      <w:r>
        <w:rPr>
          <w:lang w:val="en"/>
        </w:rPr>
        <w:t xml:space="preserve"> </w:t>
      </w:r>
      <w:r>
        <w:rPr>
          <w:bCs/>
          <w:b/>
          <w:lang w:val="en"/>
        </w:rPr>
        <w:t xml:space="preserve">Minimum replication:</w:t>
      </w:r>
      <w:r>
        <w:rPr>
          <w:lang w:val="en"/>
        </w:rPr>
        <w:t xml:space="preserve"> </w:t>
      </w:r>
      <w:r>
        <w:rPr>
          <w:lang w:val="en"/>
        </w:rPr>
        <w:t xml:space="preserve">at least three transects or quadrats per habitat stratum per site, with stratified design preferred.</w:t>
      </w:r>
    </w:p>
    <w:p>
      <w:pPr>
        <w:numPr>
          <w:ilvl w:val="0"/>
          <w:numId w:val="1008"/>
        </w:numPr>
        <w:pStyle w:val="Compact"/>
      </w:pPr>
      <w:r>
        <w:rPr>
          <w:lang w:val="en"/>
        </w:rPr>
        <w:t xml:space="preserve">¶3</w:t>
      </w:r>
      <w:r>
        <w:rPr>
          <w:lang w:val="en"/>
        </w:rPr>
        <w:t xml:space="preserve"> </w:t>
      </w:r>
      <w:r>
        <w:rPr>
          <w:bCs/>
          <w:b/>
          <w:lang w:val="en"/>
        </w:rPr>
        <w:t xml:space="preserve">Detection probability</w:t>
      </w:r>
      <w:r>
        <w:rPr>
          <w:lang w:val="en"/>
        </w:rPr>
        <w:t xml:space="preserve"> </w:t>
      </w:r>
      <w:r>
        <w:rPr>
          <w:lang w:val="en"/>
        </w:rPr>
        <w:t xml:space="preserve">reported for BRUVS (MaxN) and acoustic surveys.</w:t>
      </w:r>
    </w:p>
    <w:p>
      <w:pPr>
        <w:numPr>
          <w:ilvl w:val="0"/>
          <w:numId w:val="1008"/>
        </w:numPr>
        <w:pStyle w:val="Compact"/>
      </w:pPr>
      <w:r>
        <w:rPr>
          <w:lang w:val="en"/>
        </w:rPr>
        <w:t xml:space="preserve">¶4</w:t>
      </w:r>
      <w:r>
        <w:rPr>
          <w:lang w:val="en"/>
        </w:rPr>
        <w:t xml:space="preserve"> </w:t>
      </w:r>
      <w:r>
        <w:rPr>
          <w:bCs/>
          <w:b/>
          <w:lang w:val="en"/>
        </w:rPr>
        <w:t xml:space="preserve">eDNA contamination controls:</w:t>
      </w:r>
      <w:r>
        <w:rPr>
          <w:lang w:val="en"/>
        </w:rPr>
        <w:t xml:space="preserve"> </w:t>
      </w:r>
      <w:r>
        <w:rPr>
          <w:lang w:val="en"/>
        </w:rPr>
        <w:t xml:space="preserve">field blank results, positive controls, and replication metadata.</w:t>
      </w:r>
    </w:p>
    <w:p>
      <w:pPr>
        <w:numPr>
          <w:ilvl w:val="0"/>
          <w:numId w:val="1008"/>
        </w:numPr>
        <w:pStyle w:val="Compact"/>
      </w:pPr>
      <w:r>
        <w:rPr>
          <w:lang w:val="en"/>
        </w:rPr>
        <w:t xml:space="preserve">¶5</w:t>
      </w:r>
      <w:r>
        <w:rPr>
          <w:lang w:val="en"/>
        </w:rPr>
        <w:t xml:space="preserve"> </w:t>
      </w:r>
      <w:r>
        <w:rPr>
          <w:bCs/>
          <w:b/>
          <w:lang w:val="en"/>
        </w:rPr>
        <w:t xml:space="preserve">Observer effect:</w:t>
      </w:r>
      <w:r>
        <w:rPr>
          <w:lang w:val="en"/>
        </w:rPr>
        <w:t xml:space="preserve"> </w:t>
      </w:r>
      <w:r>
        <w:rPr>
          <w:lang w:val="en"/>
        </w:rPr>
        <w:t xml:space="preserve">inter-observer reliability assessed for visual survey methods.</w:t>
      </w:r>
    </w:p>
    <w:p>
      <w:pPr>
        <w:numPr>
          <w:ilvl w:val="0"/>
          <w:numId w:val="1008"/>
        </w:numPr>
        <w:pStyle w:val="Compact"/>
      </w:pPr>
      <w:r>
        <w:rPr>
          <w:lang w:val="en"/>
        </w:rPr>
        <w:t xml:space="preserve">¶6</w:t>
      </w:r>
      <w:r>
        <w:rPr>
          <w:lang w:val="en"/>
        </w:rPr>
        <w:t xml:space="preserve"> </w:t>
      </w:r>
      <w:r>
        <w:rPr>
          <w:bCs/>
          <w:b/>
          <w:lang w:val="en"/>
        </w:rPr>
        <w:t xml:space="preserve">Temporal coverage:</w:t>
      </w:r>
      <w:r>
        <w:rPr>
          <w:lang w:val="en"/>
        </w:rPr>
        <w:t xml:space="preserve"> </w:t>
      </w:r>
      <w:r>
        <w:rPr>
          <w:lang w:val="en"/>
        </w:rPr>
        <w:t xml:space="preserve">annual preferred, biennial accepted where resourcing constrains, and a 3-year rolling average for composite indices to smooth interannual variability.</w:t>
      </w:r>
    </w:p>
    <w:p>
      <w:r>
        <w:pict>
          <v:rect style="width:0;height:1.5pt" o:hralign="center" o:hrstd="t" o:hr="t"/>
        </w:pict>
      </w:r>
    </w:p>
    <w:bookmarkStart w:id="99" w:name="Xcfc23259436dd473c4c514f871405c5c045adae"/>
    <w:p>
      <w:pPr>
        <w:pStyle w:val="Heading3"/>
      </w:pPr>
      <w:r>
        <w:rPr>
          <w:lang w:val="en"/>
        </w:rPr>
        <w:t xml:space="preserve">3.4</w:t>
      </w:r>
      <w:r>
        <w:rPr>
          <w:lang w:val="en"/>
        </w:rPr>
        <w:t xml:space="preserve"> </w:t>
      </w:r>
      <w:r>
        <w:rPr>
          <w:lang w:val="en"/>
        </w:rPr>
        <w:t xml:space="preserve">Data Requirements and Sources</w:t>
      </w:r>
    </w:p>
    <w:p>
      <w:pPr>
        <w:pStyle w:val="FirstParagraph"/>
      </w:pPr>
      <w:hyperlink w:anchor="Xcfc23259436dd473c4c514f871405c5c045adae">
        <w:r>
          <w:drawing>
            <wp:inline>
              <wp:extent cx="152400" cy="152400"/>
              <wp:effectExtent b="0" l="0" r="0" t="0"/>
              <wp:docPr descr="" title="" id="9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Data Requirements and Sources”</w:t>
        </w:r>
      </w:hyperlink>
    </w:p>
    <w:bookmarkEnd w:id="99"/>
    <w:bookmarkStart w:id="102" w:name="Xb550b2359e91b036059acdc2f6a9b15a4a568e0"/>
    <w:p>
      <w:pPr>
        <w:pStyle w:val="Heading4"/>
      </w:pPr>
      <w:r>
        <w:rPr>
          <w:lang w:val="en"/>
        </w:rPr>
        <w:t xml:space="preserve">3.4.1</w:t>
      </w:r>
      <w:r>
        <w:rPr>
          <w:lang w:val="en"/>
        </w:rPr>
        <w:t xml:space="preserve"> </w:t>
      </w:r>
      <w:r>
        <w:rPr>
          <w:lang w:val="en"/>
        </w:rPr>
        <w:t xml:space="preserve">Tiered Data Source Hierarchy</w:t>
      </w:r>
    </w:p>
    <w:p>
      <w:pPr>
        <w:pStyle w:val="FirstParagraph"/>
      </w:pPr>
      <w:hyperlink w:anchor="Xb550b2359e91b036059acdc2f6a9b15a4a568e0">
        <w:r>
          <w:drawing>
            <wp:inline>
              <wp:extent cx="152400" cy="152400"/>
              <wp:effectExtent b="0" l="0" r="0" t="0"/>
              <wp:docPr descr="" title="" id="10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Tiered Data Source Hierarchy”</w:t>
        </w:r>
      </w:hyperlink>
    </w:p>
    <w:bookmarkEnd w:id="102"/>
    <w:p>
      <w:pPr>
        <w:pStyle w:val="BodyText"/>
      </w:pPr>
      <w:r>
        <w:rPr>
          <w:lang w:val="en"/>
        </w:rPr>
        <w:t xml:space="preserve">¶1</w:t>
      </w:r>
      <w:r>
        <w:rPr>
          <w:lang w:val="en"/>
        </w:rPr>
        <w:t xml:space="preserve"> </w:t>
      </w:r>
      <w:r>
        <w:rPr>
          <w:lang w:val="en"/>
        </w:rPr>
        <w:t xml:space="preserve">Most national statistical offices, particularly in small island developing states and lower-income coastal countries, will lack systematic in-situ biological monitoring at full national scale. A tiered data source hierarchy allows compilers to identify the best available data for each indicator and to document the quality limitations of lower tiers: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Tier</w:t>
            </w:r>
          </w:p>
        </w:tc>
        <w:tc>
          <w:tcPr/>
          <w:p>
            <w:pPr>
              <w:pStyle w:val="Compact"/>
              <w:jc w:val="left"/>
            </w:pPr>
            <w:r>
              <w:rPr>
                <w:lang w:val="en"/>
              </w:rPr>
              <w:t xml:space="preserve">Data source type</w:t>
            </w:r>
          </w:p>
        </w:tc>
        <w:tc>
          <w:tcPr/>
          <w:p>
            <w:pPr>
              <w:pStyle w:val="Compact"/>
              <w:jc w:val="left"/>
            </w:pPr>
            <w:r>
              <w:rPr>
                <w:lang w:val="en"/>
              </w:rPr>
              <w:t xml:space="preserve">Suitability</w:t>
            </w:r>
          </w:p>
        </w:tc>
        <w:tc>
          <w:tcPr/>
          <w:p>
            <w:pPr>
              <w:pStyle w:val="Compact"/>
              <w:jc w:val="left"/>
            </w:pPr>
            <w:r>
              <w:rPr>
                <w:lang w:val="en"/>
              </w:rPr>
              <w:t xml:space="preserve">Quality flag</w:t>
            </w:r>
          </w:p>
        </w:tc>
      </w:tr>
      <w:tr>
        <w:tc>
          <w:tcPr/>
          <w:p>
            <w:pPr>
              <w:pStyle w:val="Compact"/>
              <w:jc w:val="left"/>
            </w:pPr>
            <w:r>
              <w:rPr>
                <w:lang w:val="en"/>
              </w:rPr>
              <w:t xml:space="preserve">1</w:t>
            </w:r>
          </w:p>
        </w:tc>
        <w:tc>
          <w:tcPr/>
          <w:p>
            <w:pPr>
              <w:pStyle w:val="Compact"/>
              <w:jc w:val="left"/>
            </w:pPr>
            <w:r>
              <w:rPr>
                <w:lang w:val="en"/>
              </w:rPr>
              <w:t xml:space="preserve">National monitoring programmes (government agencies, research institutes) with consistent methodology and annual coverage</w:t>
            </w:r>
          </w:p>
        </w:tc>
        <w:tc>
          <w:tcPr/>
          <w:p>
            <w:pPr>
              <w:pStyle w:val="Compact"/>
              <w:jc w:val="left"/>
            </w:pPr>
            <w:r>
              <w:rPr>
                <w:lang w:val="en"/>
              </w:rPr>
              <w:t xml:space="preserve">Preferred; use directly</w:t>
            </w:r>
          </w:p>
        </w:tc>
        <w:tc>
          <w:tcPr/>
          <w:p>
            <w:pPr>
              <w:pStyle w:val="Compact"/>
              <w:jc w:val="left"/>
            </w:pPr>
            <w:r>
              <w:rPr>
                <w:lang w:val="en"/>
              </w:rPr>
              <w:t xml:space="preserve">None</w:t>
            </w:r>
          </w:p>
        </w:tc>
      </w:tr>
      <w:tr>
        <w:tc>
          <w:tcPr/>
          <w:p>
            <w:pPr>
              <w:pStyle w:val="Compact"/>
              <w:jc w:val="left"/>
            </w:pPr>
            <w:r>
              <w:rPr>
                <w:lang w:val="en"/>
              </w:rPr>
              <w:t xml:space="preserve">2</w:t>
            </w:r>
          </w:p>
        </w:tc>
        <w:tc>
          <w:tcPr/>
          <w:p>
            <w:pPr>
              <w:pStyle w:val="Compact"/>
              <w:jc w:val="left"/>
            </w:pPr>
            <w:r>
              <w:rPr>
                <w:lang w:val="en"/>
              </w:rPr>
              <w:t xml:space="preserve">Research and academic datasets (OBIS, GBIF, Reef Life Survey database); regional survey programmes</w:t>
            </w:r>
          </w:p>
        </w:tc>
        <w:tc>
          <w:tcPr/>
          <w:p>
            <w:pPr>
              <w:pStyle w:val="Compact"/>
              <w:jc w:val="left"/>
            </w:pPr>
            <w:r>
              <w:rPr>
                <w:lang w:val="en"/>
              </w:rPr>
              <w:t xml:space="preserve">Acceptable with QC</w:t>
            </w:r>
          </w:p>
        </w:tc>
        <w:tc>
          <w:tcPr/>
          <w:p>
            <w:pPr>
              <w:pStyle w:val="Compact"/>
              <w:jc w:val="left"/>
            </w:pPr>
            <w:r>
              <w:rPr>
                <w:lang w:val="en"/>
              </w:rPr>
              <w:t xml:space="preserve">Document temporal/spatial gaps</w:t>
            </w:r>
          </w:p>
        </w:tc>
      </w:tr>
      <w:tr>
        <w:tc>
          <w:tcPr/>
          <w:p>
            <w:pPr>
              <w:pStyle w:val="Compact"/>
              <w:jc w:val="left"/>
            </w:pPr>
            <w:r>
              <w:rPr>
                <w:lang w:val="en"/>
              </w:rPr>
              <w:t xml:space="preserve">3</w:t>
            </w:r>
          </w:p>
        </w:tc>
        <w:tc>
          <w:tcPr/>
          <w:p>
            <w:pPr>
              <w:pStyle w:val="Compact"/>
              <w:jc w:val="left"/>
            </w:pPr>
            <w:r>
              <w:rPr>
                <w:lang w:val="en"/>
              </w:rPr>
              <w:t xml:space="preserve">Citizen science programmes (per TG-4.4 protocols)</w:t>
            </w:r>
          </w:p>
        </w:tc>
        <w:tc>
          <w:tcPr/>
          <w:p>
            <w:pPr>
              <w:pStyle w:val="Compact"/>
              <w:jc w:val="left"/>
            </w:pPr>
            <w:r>
              <w:rPr>
                <w:lang w:val="en"/>
              </w:rPr>
              <w:t xml:space="preserve">Acceptable for occurrence, relative abundance</w:t>
            </w:r>
          </w:p>
        </w:tc>
        <w:tc>
          <w:tcPr/>
          <w:p>
            <w:pPr>
              <w:pStyle w:val="Compact"/>
              <w:jc w:val="left"/>
            </w:pPr>
            <w:r>
              <w:rPr>
                <w:lang w:val="en"/>
              </w:rPr>
              <w:t xml:space="preserve">Apply TG-4.4 QC tier; flag observer bias</w:t>
            </w:r>
          </w:p>
        </w:tc>
      </w:tr>
      <w:tr>
        <w:tc>
          <w:tcPr/>
          <w:p>
            <w:pPr>
              <w:pStyle w:val="Compact"/>
              <w:jc w:val="left"/>
            </w:pPr>
            <w:r>
              <w:rPr>
                <w:lang w:val="en"/>
              </w:rPr>
              <w:t xml:space="preserve">4</w:t>
            </w:r>
          </w:p>
        </w:tc>
        <w:tc>
          <w:tcPr/>
          <w:p>
            <w:pPr>
              <w:pStyle w:val="Compact"/>
              <w:jc w:val="left"/>
            </w:pPr>
            <w:r>
              <w:rPr>
                <w:lang w:val="en"/>
              </w:rPr>
              <w:t xml:space="preserve">Remote sensing proxies (per TG-4.1)</w:t>
            </w:r>
          </w:p>
        </w:tc>
        <w:tc>
          <w:tcPr/>
          <w:p>
            <w:pPr>
              <w:pStyle w:val="Compact"/>
              <w:jc w:val="left"/>
            </w:pPr>
            <w:r>
              <w:rPr>
                <w:lang w:val="en"/>
              </w:rPr>
              <w:t xml:space="preserve">Acceptable for spatial extent, phytoplankton; limited for abundance/biomass</w:t>
            </w:r>
          </w:p>
        </w:tc>
        <w:tc>
          <w:tcPr/>
          <w:p>
            <w:pPr>
              <w:pStyle w:val="Compact"/>
              <w:jc w:val="left"/>
            </w:pPr>
            <w:r>
              <w:rPr>
                <w:lang w:val="en"/>
              </w:rPr>
              <w:t xml:space="preserve">Validate against in-situ; report accuracy</w:t>
            </w:r>
          </w:p>
        </w:tc>
      </w:tr>
      <w:tr>
        <w:tc>
          <w:tcPr/>
          <w:p>
            <w:pPr>
              <w:pStyle w:val="Compact"/>
              <w:jc w:val="left"/>
            </w:pPr>
            <w:r>
              <w:rPr>
                <w:lang w:val="en"/>
              </w:rPr>
              <w:t xml:space="preserve">5</w:t>
            </w:r>
          </w:p>
        </w:tc>
        <w:tc>
          <w:tcPr/>
          <w:p>
            <w:pPr>
              <w:pStyle w:val="Compact"/>
              <w:jc w:val="left"/>
            </w:pPr>
            <w:r>
              <w:rPr>
                <w:lang w:val="en"/>
              </w:rPr>
              <w:t xml:space="preserve">Expert elicitation, modelled products, global default values</w:t>
            </w:r>
          </w:p>
        </w:tc>
        <w:tc>
          <w:tcPr/>
          <w:p>
            <w:pPr>
              <w:pStyle w:val="Compact"/>
              <w:jc w:val="left"/>
            </w:pPr>
            <w:r>
              <w:rPr>
                <w:lang w:val="en"/>
              </w:rPr>
              <w:t xml:space="preserve">Last resort; use only where Tiers 1—4 are unavailable</w:t>
            </w:r>
          </w:p>
        </w:tc>
        <w:tc>
          <w:tcPr/>
          <w:p>
            <w:pPr>
              <w:pStyle w:val="Compact"/>
              <w:jc w:val="left"/>
            </w:pPr>
            <w:r>
              <w:rPr>
                <w:lang w:val="en"/>
              </w:rPr>
              <w:t xml:space="preserve">Flag clearly; assess sensitivity</w:t>
            </w:r>
          </w:p>
        </w:tc>
      </w:tr>
    </w:tbl>
    <w:p>
      <w:pPr>
        <w:pStyle w:val="BodyText"/>
      </w:pPr>
      <w:r>
        <w:rPr>
          <w:lang w:val="en"/>
        </w:rPr>
        <w:t xml:space="preserve">¶2</w:t>
      </w:r>
      <w:r>
        <w:rPr>
          <w:lang w:val="en"/>
        </w:rPr>
        <w:t xml:space="preserve"> </w:t>
      </w:r>
      <w:r>
        <w:rPr>
          <w:lang w:val="en"/>
        </w:rPr>
        <w:t xml:space="preserve">Where Tier 4 or 5 data are used, the revision log and metadata should record this explicitly and quantify the additional uncertainty introduced.</w:t>
      </w:r>
    </w:p>
    <w:bookmarkStart w:id="105" w:name="X647de4d1eedd27a731fa6c7eaa531e3847acccb"/>
    <w:p>
      <w:pPr>
        <w:pStyle w:val="Heading4"/>
      </w:pPr>
      <w:r>
        <w:rPr>
          <w:lang w:val="en"/>
        </w:rPr>
        <w:t xml:space="preserve">3.4.2</w:t>
      </w:r>
      <w:r>
        <w:rPr>
          <w:lang w:val="en"/>
        </w:rPr>
        <w:t xml:space="preserve"> </w:t>
      </w:r>
      <w:r>
        <w:rPr>
          <w:lang w:val="en"/>
        </w:rPr>
        <w:t xml:space="preserve">Variable Data Requirements Table</w:t>
      </w:r>
    </w:p>
    <w:p>
      <w:pPr>
        <w:pStyle w:val="FirstParagraph"/>
      </w:pPr>
      <w:hyperlink w:anchor="X647de4d1eedd27a731fa6c7eaa531e3847acccb">
        <w:r>
          <w:drawing>
            <wp:inline>
              <wp:extent cx="152400" cy="152400"/>
              <wp:effectExtent b="0" l="0" r="0" t="0"/>
              <wp:docPr descr="" title="" id="10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Variable Data Requirements Table”</w:t>
        </w:r>
      </w:hyperlink>
    </w:p>
    <w:bookmarkEnd w:id="105"/>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Variable</w:t>
            </w:r>
          </w:p>
        </w:tc>
        <w:tc>
          <w:tcPr/>
          <w:p>
            <w:pPr>
              <w:pStyle w:val="Compact"/>
              <w:jc w:val="left"/>
            </w:pPr>
            <w:r>
              <w:rPr>
                <w:lang w:val="en"/>
              </w:rPr>
              <w:t xml:space="preserve">Unit</w:t>
            </w:r>
          </w:p>
        </w:tc>
        <w:tc>
          <w:tcPr/>
          <w:p>
            <w:pPr>
              <w:pStyle w:val="Compact"/>
              <w:jc w:val="left"/>
            </w:pPr>
            <w:r>
              <w:rPr>
                <w:lang w:val="en"/>
              </w:rPr>
              <w:t xml:space="preserve">Primary source</w:t>
            </w:r>
          </w:p>
        </w:tc>
        <w:tc>
          <w:tcPr/>
          <w:p>
            <w:pPr>
              <w:pStyle w:val="Compact"/>
              <w:jc w:val="left"/>
            </w:pPr>
            <w:r>
              <w:rPr>
                <w:lang w:val="en"/>
              </w:rPr>
              <w:t xml:space="preserve">Update frequency</w:t>
            </w:r>
          </w:p>
        </w:tc>
        <w:tc>
          <w:tcPr/>
          <w:p>
            <w:pPr>
              <w:pStyle w:val="Compact"/>
              <w:jc w:val="left"/>
            </w:pPr>
            <w:r>
              <w:rPr>
                <w:lang w:val="en"/>
              </w:rPr>
              <w:t xml:space="preserve">Data-poor alternative</w:t>
            </w:r>
          </w:p>
        </w:tc>
      </w:tr>
      <w:tr>
        <w:tc>
          <w:tcPr/>
          <w:p>
            <w:pPr>
              <w:pStyle w:val="Compact"/>
              <w:jc w:val="left"/>
            </w:pPr>
            <w:r>
              <w:rPr>
                <w:lang w:val="en"/>
              </w:rPr>
              <w:t xml:space="preserve">Live coral cover</w:t>
            </w:r>
          </w:p>
        </w:tc>
        <w:tc>
          <w:tcPr/>
          <w:p>
            <w:pPr>
              <w:pStyle w:val="Compact"/>
              <w:jc w:val="left"/>
            </w:pPr>
            <w:r>
              <w:rPr>
                <w:lang w:val="en"/>
              </w:rPr>
              <w:t xml:space="preserve">%</w:t>
            </w:r>
          </w:p>
        </w:tc>
        <w:tc>
          <w:tcPr/>
          <w:p>
            <w:pPr>
              <w:pStyle w:val="Compact"/>
              <w:jc w:val="left"/>
            </w:pPr>
            <w:r>
              <w:rPr>
                <w:lang w:val="en"/>
              </w:rPr>
              <w:t xml:space="preserve">GCRMN national surveys, Reef Check</w:t>
            </w:r>
          </w:p>
        </w:tc>
        <w:tc>
          <w:tcPr/>
          <w:p>
            <w:pPr>
              <w:pStyle w:val="Compact"/>
              <w:jc w:val="left"/>
            </w:pPr>
            <w:r>
              <w:rPr>
                <w:lang w:val="en"/>
              </w:rPr>
              <w:t xml:space="preserve">Annual</w:t>
            </w:r>
          </w:p>
        </w:tc>
        <w:tc>
          <w:tcPr/>
          <w:p>
            <w:pPr>
              <w:pStyle w:val="Compact"/>
              <w:jc w:val="left"/>
            </w:pPr>
            <w:r>
              <w:rPr>
                <w:lang w:val="en"/>
              </w:rPr>
              <w:t xml:space="preserve">CoralNet from photo-quadrats</w:t>
            </w:r>
          </w:p>
        </w:tc>
      </w:tr>
      <w:tr>
        <w:tc>
          <w:tcPr/>
          <w:p>
            <w:pPr>
              <w:pStyle w:val="Compact"/>
              <w:jc w:val="left"/>
            </w:pPr>
            <w:r>
              <w:rPr>
                <w:lang w:val="en"/>
              </w:rPr>
              <w:t xml:space="preserve">Reef fish biomass</w:t>
            </w:r>
          </w:p>
        </w:tc>
        <w:tc>
          <w:tcPr/>
          <w:p>
            <w:pPr>
              <w:pStyle w:val="Compact"/>
              <w:jc w:val="left"/>
            </w:pPr>
            <w:r>
              <w:rPr>
                <w:lang w:val="en"/>
              </w:rPr>
              <w:t xml:space="preserve">g/m²</w:t>
            </w:r>
          </w:p>
        </w:tc>
        <w:tc>
          <w:tcPr/>
          <w:p>
            <w:pPr>
              <w:pStyle w:val="Compact"/>
              <w:jc w:val="left"/>
            </w:pPr>
            <w:r>
              <w:rPr>
                <w:lang w:val="en"/>
              </w:rPr>
              <w:t xml:space="preserve">UVC belt transects, BRUVS</w:t>
            </w:r>
          </w:p>
        </w:tc>
        <w:tc>
          <w:tcPr/>
          <w:p>
            <w:pPr>
              <w:pStyle w:val="Compact"/>
              <w:jc w:val="left"/>
            </w:pPr>
            <w:r>
              <w:rPr>
                <w:lang w:val="en"/>
              </w:rPr>
              <w:t xml:space="preserve">Annual</w:t>
            </w:r>
          </w:p>
        </w:tc>
        <w:tc>
          <w:tcPr/>
          <w:p>
            <w:pPr>
              <w:pStyle w:val="Compact"/>
              <w:jc w:val="left"/>
            </w:pPr>
            <w:r>
              <w:rPr>
                <w:lang w:val="en"/>
              </w:rPr>
              <w:t xml:space="preserve">RAM Legacy Stock Assessment</w:t>
            </w:r>
          </w:p>
        </w:tc>
      </w:tr>
      <w:tr>
        <w:tc>
          <w:tcPr/>
          <w:p>
            <w:pPr>
              <w:pStyle w:val="Compact"/>
              <w:jc w:val="left"/>
            </w:pPr>
            <w:r>
              <w:rPr>
                <w:lang w:val="en"/>
              </w:rPr>
              <w:t xml:space="preserve">Coral bleaching extent</w:t>
            </w:r>
          </w:p>
        </w:tc>
        <w:tc>
          <w:tcPr/>
          <w:p>
            <w:pPr>
              <w:pStyle w:val="Compact"/>
              <w:jc w:val="left"/>
            </w:pPr>
            <w:r>
              <w:rPr>
                <w:lang w:val="en"/>
              </w:rPr>
              <w:t xml:space="preserve">%</w:t>
            </w:r>
          </w:p>
        </w:tc>
        <w:tc>
          <w:tcPr/>
          <w:p>
            <w:pPr>
              <w:pStyle w:val="Compact"/>
              <w:jc w:val="left"/>
            </w:pPr>
            <w:r>
              <w:rPr>
                <w:lang w:val="en"/>
              </w:rPr>
              <w:t xml:space="preserve">Reef Check bleaching survey, CoralWatch</w:t>
            </w:r>
          </w:p>
        </w:tc>
        <w:tc>
          <w:tcPr/>
          <w:p>
            <w:pPr>
              <w:pStyle w:val="Compact"/>
              <w:jc w:val="left"/>
            </w:pPr>
            <w:r>
              <w:rPr>
                <w:lang w:val="en"/>
              </w:rPr>
              <w:t xml:space="preserve">Annual or event-driven</w:t>
            </w:r>
          </w:p>
        </w:tc>
        <w:tc>
          <w:tcPr/>
          <w:p>
            <w:pPr>
              <w:pStyle w:val="Compact"/>
              <w:jc w:val="left"/>
            </w:pPr>
            <w:r>
              <w:rPr>
                <w:lang w:val="en"/>
              </w:rPr>
              <w:t xml:space="preserve">NOAA CRW DHW product (thermal proxy)</w:t>
            </w:r>
          </w:p>
        </w:tc>
      </w:tr>
      <w:tr>
        <w:tc>
          <w:tcPr/>
          <w:p>
            <w:pPr>
              <w:pStyle w:val="Compact"/>
              <w:jc w:val="left"/>
            </w:pPr>
            <w:r>
              <w:rPr>
                <w:lang w:val="en"/>
              </w:rPr>
              <w:t xml:space="preserve">Seagrass cover</w:t>
            </w:r>
          </w:p>
        </w:tc>
        <w:tc>
          <w:tcPr/>
          <w:p>
            <w:pPr>
              <w:pStyle w:val="Compact"/>
              <w:jc w:val="left"/>
            </w:pPr>
            <w:r>
              <w:rPr>
                <w:lang w:val="en"/>
              </w:rPr>
              <w:t xml:space="preserve">%</w:t>
            </w:r>
          </w:p>
        </w:tc>
        <w:tc>
          <w:tcPr/>
          <w:p>
            <w:pPr>
              <w:pStyle w:val="Compact"/>
              <w:jc w:val="left"/>
            </w:pPr>
            <w:r>
              <w:rPr>
                <w:lang w:val="en"/>
              </w:rPr>
              <w:t xml:space="preserve">SeagrassNet, national monitoring</w:t>
            </w:r>
          </w:p>
        </w:tc>
        <w:tc>
          <w:tcPr/>
          <w:p>
            <w:pPr>
              <w:pStyle w:val="Compact"/>
              <w:jc w:val="left"/>
            </w:pPr>
            <w:r>
              <w:rPr>
                <w:lang w:val="en"/>
              </w:rPr>
              <w:t xml:space="preserve">Annual</w:t>
            </w:r>
          </w:p>
        </w:tc>
        <w:tc>
          <w:tcPr/>
          <w:p>
            <w:pPr>
              <w:pStyle w:val="Compact"/>
              <w:jc w:val="left"/>
            </w:pPr>
            <w:r>
              <w:rPr>
                <w:lang w:val="en"/>
              </w:rPr>
              <w:t xml:space="preserve">Sentinel-2 remote sensing (TG-4.1)</w:t>
            </w:r>
          </w:p>
        </w:tc>
      </w:tr>
      <w:tr>
        <w:tc>
          <w:tcPr/>
          <w:p>
            <w:pPr>
              <w:pStyle w:val="Compact"/>
              <w:jc w:val="left"/>
            </w:pPr>
            <w:r>
              <w:rPr>
                <w:lang w:val="en"/>
              </w:rPr>
              <w:t xml:space="preserve">Seagrass shoot density</w:t>
            </w:r>
          </w:p>
        </w:tc>
        <w:tc>
          <w:tcPr/>
          <w:p>
            <w:pPr>
              <w:pStyle w:val="Compact"/>
              <w:jc w:val="left"/>
            </w:pPr>
            <w:r>
              <w:rPr>
                <w:lang w:val="en"/>
              </w:rPr>
              <w:t xml:space="preserve">shoots/m²</w:t>
            </w:r>
          </w:p>
        </w:tc>
        <w:tc>
          <w:tcPr/>
          <w:p>
            <w:pPr>
              <w:pStyle w:val="Compact"/>
              <w:jc w:val="left"/>
            </w:pPr>
            <w:r>
              <w:rPr>
                <w:lang w:val="en"/>
              </w:rPr>
              <w:t xml:space="preserve">SeagrassNet</w:t>
            </w:r>
          </w:p>
        </w:tc>
        <w:tc>
          <w:tcPr/>
          <w:p>
            <w:pPr>
              <w:pStyle w:val="Compact"/>
              <w:jc w:val="left"/>
            </w:pPr>
            <w:r>
              <w:rPr>
                <w:lang w:val="en"/>
              </w:rPr>
              <w:t xml:space="preserve">Annual</w:t>
            </w:r>
          </w:p>
        </w:tc>
        <w:tc>
          <w:tcPr/>
          <w:p>
            <w:pPr>
              <w:pStyle w:val="Compact"/>
              <w:jc w:val="left"/>
            </w:pPr>
            <w:r>
              <w:rPr>
                <w:lang w:val="en"/>
              </w:rPr>
              <w:t xml:space="preserve">Seagrass cover as proxy (document relationship)</w:t>
            </w:r>
          </w:p>
        </w:tc>
      </w:tr>
      <w:tr>
        <w:tc>
          <w:tcPr/>
          <w:p>
            <w:pPr>
              <w:pStyle w:val="Compact"/>
              <w:jc w:val="left"/>
            </w:pPr>
            <w:r>
              <w:rPr>
                <w:lang w:val="en"/>
              </w:rPr>
              <w:t xml:space="preserve">Mangrove canopy cover</w:t>
            </w:r>
          </w:p>
        </w:tc>
        <w:tc>
          <w:tcPr/>
          <w:p>
            <w:pPr>
              <w:pStyle w:val="Compact"/>
              <w:jc w:val="left"/>
            </w:pPr>
            <w:r>
              <w:rPr>
                <w:lang w:val="en"/>
              </w:rPr>
              <w:t xml:space="preserve">%</w:t>
            </w:r>
          </w:p>
        </w:tc>
        <w:tc>
          <w:tcPr/>
          <w:p>
            <w:pPr>
              <w:pStyle w:val="Compact"/>
              <w:jc w:val="left"/>
            </w:pPr>
            <w:r>
              <w:rPr>
                <w:lang w:val="en"/>
              </w:rPr>
              <w:t xml:space="preserve">National forest inventory</w:t>
            </w:r>
          </w:p>
        </w:tc>
        <w:tc>
          <w:tcPr/>
          <w:p>
            <w:pPr>
              <w:pStyle w:val="Compact"/>
              <w:jc w:val="left"/>
            </w:pPr>
            <w:r>
              <w:rPr>
                <w:lang w:val="en"/>
              </w:rPr>
              <w:t xml:space="preserve">Biennial</w:t>
            </w:r>
          </w:p>
        </w:tc>
        <w:tc>
          <w:tcPr/>
          <w:p>
            <w:pPr>
              <w:pStyle w:val="Compact"/>
              <w:jc w:val="left"/>
            </w:pPr>
            <w:r>
              <w:rPr>
                <w:lang w:val="en"/>
              </w:rPr>
              <w:t xml:space="preserve">Global Mangrove Watch (TG-4.1)</w:t>
            </w:r>
          </w:p>
        </w:tc>
      </w:tr>
      <w:tr>
        <w:tc>
          <w:tcPr/>
          <w:p>
            <w:pPr>
              <w:pStyle w:val="Compact"/>
              <w:jc w:val="left"/>
            </w:pPr>
            <w:r>
              <w:rPr>
                <w:lang w:val="en"/>
              </w:rPr>
              <w:t xml:space="preserve">Mangrove stem density</w:t>
            </w:r>
          </w:p>
        </w:tc>
        <w:tc>
          <w:tcPr/>
          <w:p>
            <w:pPr>
              <w:pStyle w:val="Compact"/>
              <w:jc w:val="left"/>
            </w:pPr>
            <w:r>
              <w:rPr>
                <w:lang w:val="en"/>
              </w:rPr>
              <w:t xml:space="preserve">stems/ha</w:t>
            </w:r>
          </w:p>
        </w:tc>
        <w:tc>
          <w:tcPr/>
          <w:p>
            <w:pPr>
              <w:pStyle w:val="Compact"/>
              <w:jc w:val="left"/>
            </w:pPr>
            <w:r>
              <w:rPr>
                <w:lang w:val="en"/>
              </w:rPr>
              <w:t xml:space="preserve">National forest inventory</w:t>
            </w:r>
          </w:p>
        </w:tc>
        <w:tc>
          <w:tcPr/>
          <w:p>
            <w:pPr>
              <w:pStyle w:val="Compact"/>
              <w:jc w:val="left"/>
            </w:pPr>
            <w:r>
              <w:rPr>
                <w:lang w:val="en"/>
              </w:rPr>
              <w:t xml:space="preserve">Biennial</w:t>
            </w:r>
          </w:p>
        </w:tc>
        <w:tc>
          <w:tcPr/>
          <w:p>
            <w:pPr>
              <w:pStyle w:val="Compact"/>
              <w:jc w:val="left"/>
            </w:pPr>
            <w:r>
              <w:rPr>
                <w:lang w:val="en"/>
              </w:rPr>
              <w:t xml:space="preserve">Global Mangrove Watch canopy height product</w:t>
            </w:r>
          </w:p>
        </w:tc>
      </w:tr>
      <w:tr>
        <w:tc>
          <w:tcPr/>
          <w:p>
            <w:pPr>
              <w:pStyle w:val="Compact"/>
              <w:jc w:val="left"/>
            </w:pPr>
            <w:r>
              <w:rPr>
                <w:lang w:val="en"/>
              </w:rPr>
              <w:t xml:space="preserve">Kelp canopy cover</w:t>
            </w:r>
          </w:p>
        </w:tc>
        <w:tc>
          <w:tcPr/>
          <w:p>
            <w:pPr>
              <w:pStyle w:val="Compact"/>
              <w:jc w:val="left"/>
            </w:pPr>
            <w:r>
              <w:rPr>
                <w:lang w:val="en"/>
              </w:rPr>
              <w:t xml:space="preserve">%</w:t>
            </w:r>
          </w:p>
        </w:tc>
        <w:tc>
          <w:tcPr/>
          <w:p>
            <w:pPr>
              <w:pStyle w:val="Compact"/>
              <w:jc w:val="left"/>
            </w:pPr>
            <w:r>
              <w:rPr>
                <w:lang w:val="en"/>
              </w:rPr>
              <w:t xml:space="preserve">National reef monitoring, REEF survey</w:t>
            </w:r>
          </w:p>
        </w:tc>
        <w:tc>
          <w:tcPr/>
          <w:p>
            <w:pPr>
              <w:pStyle w:val="Compact"/>
              <w:jc w:val="left"/>
            </w:pPr>
            <w:r>
              <w:rPr>
                <w:lang w:val="en"/>
              </w:rPr>
              <w:t xml:space="preserve">Annual</w:t>
            </w:r>
          </w:p>
        </w:tc>
        <w:tc>
          <w:tcPr/>
          <w:p>
            <w:pPr>
              <w:pStyle w:val="Compact"/>
              <w:jc w:val="left"/>
            </w:pPr>
            <w:r>
              <w:rPr>
                <w:lang w:val="en"/>
              </w:rPr>
              <w:t xml:space="preserve">Sentinel-2 near-infrared mapping</w:t>
            </w:r>
          </w:p>
        </w:tc>
      </w:tr>
      <w:tr>
        <w:tc>
          <w:tcPr/>
          <w:p>
            <w:pPr>
              <w:pStyle w:val="Compact"/>
              <w:jc w:val="left"/>
            </w:pPr>
            <w:r>
              <w:rPr>
                <w:lang w:val="en"/>
              </w:rPr>
              <w:t xml:space="preserve">Chlorophyll-a (phytoplankton)</w:t>
            </w:r>
          </w:p>
        </w:tc>
        <w:tc>
          <w:tcPr/>
          <w:p>
            <w:pPr>
              <w:pStyle w:val="Compact"/>
              <w:jc w:val="left"/>
            </w:pPr>
            <w:r>
              <w:rPr>
                <w:lang w:val="en"/>
              </w:rPr>
              <w:t xml:space="preserve">µg/L</w:t>
            </w:r>
          </w:p>
        </w:tc>
        <w:tc>
          <w:tcPr/>
          <w:p>
            <w:pPr>
              <w:pStyle w:val="Compact"/>
              <w:jc w:val="left"/>
            </w:pPr>
            <w:r>
              <w:rPr>
                <w:lang w:val="en"/>
              </w:rPr>
              <w:t xml:space="preserve">MODIS Aqua, Sentinel-3 OLCI</w:t>
            </w:r>
          </w:p>
        </w:tc>
        <w:tc>
          <w:tcPr/>
          <w:p>
            <w:pPr>
              <w:pStyle w:val="Compact"/>
              <w:jc w:val="left"/>
            </w:pPr>
            <w:r>
              <w:rPr>
                <w:lang w:val="en"/>
              </w:rPr>
              <w:t xml:space="preserve">Monthly composites</w:t>
            </w:r>
          </w:p>
        </w:tc>
        <w:tc>
          <w:tcPr/>
          <w:p>
            <w:pPr>
              <w:pStyle w:val="Compact"/>
              <w:jc w:val="left"/>
            </w:pPr>
            <w:r>
              <w:rPr>
                <w:lang w:val="en"/>
              </w:rPr>
              <w:t xml:space="preserve">CMEMS biogeochemical reanalysis</w:t>
            </w:r>
          </w:p>
        </w:tc>
      </w:tr>
      <w:tr>
        <w:tc>
          <w:tcPr/>
          <w:p>
            <w:pPr>
              <w:pStyle w:val="Compact"/>
              <w:jc w:val="left"/>
            </w:pPr>
            <w:r>
              <w:rPr>
                <w:lang w:val="en"/>
              </w:rPr>
              <w:t xml:space="preserve">Fish stock biomass (pelagic)</w:t>
            </w:r>
          </w:p>
        </w:tc>
        <w:tc>
          <w:tcPr/>
          <w:p>
            <w:pPr>
              <w:pStyle w:val="Compact"/>
              <w:jc w:val="left"/>
            </w:pPr>
            <w:r>
              <w:rPr>
                <w:lang w:val="en"/>
              </w:rPr>
              <w:t xml:space="preserve">tonnes</w:t>
            </w:r>
          </w:p>
        </w:tc>
        <w:tc>
          <w:tcPr/>
          <w:p>
            <w:pPr>
              <w:pStyle w:val="Compact"/>
              <w:jc w:val="left"/>
            </w:pPr>
            <w:r>
              <w:rPr>
                <w:lang w:val="en"/>
              </w:rPr>
              <w:t xml:space="preserve">National stock assessment</w:t>
            </w:r>
          </w:p>
        </w:tc>
        <w:tc>
          <w:tcPr/>
          <w:p>
            <w:pPr>
              <w:pStyle w:val="Compact"/>
              <w:jc w:val="left"/>
            </w:pPr>
            <w:r>
              <w:rPr>
                <w:lang w:val="en"/>
              </w:rPr>
              <w:t xml:space="preserve">Annual</w:t>
            </w:r>
          </w:p>
        </w:tc>
        <w:tc>
          <w:tcPr/>
          <w:p>
            <w:pPr>
              <w:pStyle w:val="Compact"/>
              <w:jc w:val="left"/>
            </w:pPr>
            <w:r>
              <w:rPr>
                <w:lang w:val="en"/>
              </w:rPr>
              <w:t xml:space="preserve">RAM Legacy Database v4.65</w:t>
            </w:r>
          </w:p>
        </w:tc>
      </w:tr>
      <w:tr>
        <w:tc>
          <w:tcPr/>
          <w:p>
            <w:pPr>
              <w:pStyle w:val="Compact"/>
              <w:jc w:val="left"/>
            </w:pPr>
            <w:r>
              <w:rPr>
                <w:lang w:val="en"/>
              </w:rPr>
              <w:t xml:space="preserve">Macro-invertebrate diversity (H’)</w:t>
            </w:r>
          </w:p>
        </w:tc>
        <w:tc>
          <w:tcPr/>
          <w:p>
            <w:pPr>
              <w:pStyle w:val="Compact"/>
              <w:jc w:val="left"/>
            </w:pPr>
            <w:r>
              <w:rPr>
                <w:lang w:val="en"/>
              </w:rPr>
              <w:t xml:space="preserve">dimensionless</w:t>
            </w:r>
          </w:p>
        </w:tc>
        <w:tc>
          <w:tcPr/>
          <w:p>
            <w:pPr>
              <w:pStyle w:val="Compact"/>
              <w:jc w:val="left"/>
            </w:pPr>
            <w:r>
              <w:rPr>
                <w:lang w:val="en"/>
              </w:rPr>
              <w:t xml:space="preserve">MOSSCO benthic surveys</w:t>
            </w:r>
          </w:p>
        </w:tc>
        <w:tc>
          <w:tcPr/>
          <w:p>
            <w:pPr>
              <w:pStyle w:val="Compact"/>
              <w:jc w:val="left"/>
            </w:pPr>
            <w:r>
              <w:rPr>
                <w:lang w:val="en"/>
              </w:rPr>
              <w:t xml:space="preserve">Biennial</w:t>
            </w:r>
          </w:p>
        </w:tc>
        <w:tc>
          <w:tcPr/>
          <w:p>
            <w:pPr>
              <w:pStyle w:val="Compact"/>
              <w:jc w:val="left"/>
            </w:pPr>
            <w:r>
              <w:rPr>
                <w:lang w:val="en"/>
              </w:rPr>
              <w:t xml:space="preserve">OBIS occurrence data (modelled diversity)</w:t>
            </w:r>
          </w:p>
        </w:tc>
      </w:tr>
      <w:tr>
        <w:tc>
          <w:tcPr/>
          <w:p>
            <w:pPr>
              <w:pStyle w:val="Compact"/>
              <w:jc w:val="left"/>
            </w:pPr>
            <w:r>
              <w:rPr>
                <w:lang w:val="en"/>
              </w:rPr>
              <w:t xml:space="preserve">Marine mammal abundance index</w:t>
            </w:r>
          </w:p>
        </w:tc>
        <w:tc>
          <w:tcPr/>
          <w:p>
            <w:pPr>
              <w:pStyle w:val="Compact"/>
              <w:jc w:val="left"/>
            </w:pPr>
            <w:r>
              <w:rPr>
                <w:lang w:val="en"/>
              </w:rPr>
              <w:t xml:space="preserve">IWC units</w:t>
            </w:r>
          </w:p>
        </w:tc>
        <w:tc>
          <w:tcPr/>
          <w:p>
            <w:pPr>
              <w:pStyle w:val="Compact"/>
              <w:jc w:val="left"/>
            </w:pPr>
            <w:r>
              <w:rPr>
                <w:lang w:val="en"/>
              </w:rPr>
              <w:t xml:space="preserve">National survey programme</w:t>
            </w:r>
          </w:p>
        </w:tc>
        <w:tc>
          <w:tcPr/>
          <w:p>
            <w:pPr>
              <w:pStyle w:val="Compact"/>
              <w:jc w:val="left"/>
            </w:pPr>
            <w:r>
              <w:rPr>
                <w:lang w:val="en"/>
              </w:rPr>
              <w:t xml:space="preserve">3—5 year</w:t>
            </w:r>
          </w:p>
        </w:tc>
        <w:tc>
          <w:tcPr/>
          <w:p>
            <w:pPr>
              <w:pStyle w:val="Compact"/>
              <w:jc w:val="left"/>
            </w:pPr>
            <w:r>
              <w:rPr>
                <w:lang w:val="en"/>
              </w:rPr>
              <w:t xml:space="preserve">IWC Scientific Committee survey programmes (POWER, SOWER, or national equivalent)</w:t>
            </w:r>
          </w:p>
        </w:tc>
      </w:tr>
      <w:tr>
        <w:tc>
          <w:tcPr/>
          <w:p>
            <w:pPr>
              <w:pStyle w:val="Compact"/>
              <w:jc w:val="left"/>
            </w:pPr>
            <w:r>
              <w:rPr>
                <w:lang w:val="en"/>
              </w:rPr>
              <w:t xml:space="preserve">NIS occurrence</w:t>
            </w:r>
          </w:p>
        </w:tc>
        <w:tc>
          <w:tcPr/>
          <w:p>
            <w:pPr>
              <w:pStyle w:val="Compact"/>
              <w:jc w:val="left"/>
            </w:pPr>
            <w:r>
              <w:rPr>
                <w:lang w:val="en"/>
              </w:rPr>
              <w:t xml:space="preserve">presence/count</w:t>
            </w:r>
          </w:p>
        </w:tc>
        <w:tc>
          <w:tcPr/>
          <w:p>
            <w:pPr>
              <w:pStyle w:val="Compact"/>
              <w:jc w:val="left"/>
            </w:pPr>
            <w:r>
              <w:rPr>
                <w:lang w:val="en"/>
              </w:rPr>
              <w:t xml:space="preserve">National NIS programme, OBIS</w:t>
            </w:r>
          </w:p>
        </w:tc>
        <w:tc>
          <w:tcPr/>
          <w:p>
            <w:pPr>
              <w:pStyle w:val="Compact"/>
              <w:jc w:val="left"/>
            </w:pPr>
            <w:r>
              <w:rPr>
                <w:lang w:val="en"/>
              </w:rPr>
              <w:t xml:space="preserve">Annual</w:t>
            </w:r>
          </w:p>
        </w:tc>
        <w:tc>
          <w:tcPr/>
          <w:p>
            <w:pPr>
              <w:pStyle w:val="Compact"/>
              <w:jc w:val="left"/>
            </w:pPr>
            <w:r>
              <w:rPr>
                <w:lang w:val="en"/>
              </w:rPr>
              <w:t xml:space="preserve">GBIF occurrence records</w:t>
            </w:r>
          </w:p>
        </w:tc>
      </w:tr>
    </w:tbl>
    <w:bookmarkStart w:id="108" w:name="X399e3ebee12e3d9f591ee75b8045c43a1b6a3bc"/>
    <w:p>
      <w:pPr>
        <w:pStyle w:val="Heading4"/>
      </w:pPr>
      <w:r>
        <w:rPr>
          <w:lang w:val="en"/>
        </w:rPr>
        <w:t xml:space="preserve">3.4.3</w:t>
      </w:r>
      <w:r>
        <w:rPr>
          <w:lang w:val="en"/>
        </w:rPr>
        <w:t xml:space="preserve"> </w:t>
      </w:r>
      <w:r>
        <w:rPr>
          <w:lang w:val="en"/>
        </w:rPr>
        <w:t xml:space="preserve">Key Institutional Data Sources</w:t>
      </w:r>
    </w:p>
    <w:p>
      <w:pPr>
        <w:pStyle w:val="FirstParagraph"/>
      </w:pPr>
      <w:hyperlink w:anchor="X399e3ebee12e3d9f591ee75b8045c43a1b6a3bc">
        <w:r>
          <w:drawing>
            <wp:inline>
              <wp:extent cx="152400" cy="152400"/>
              <wp:effectExtent b="0" l="0" r="0" t="0"/>
              <wp:docPr descr="" title="" id="10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Key Institutional Data Sources”</w:t>
        </w:r>
      </w:hyperlink>
    </w:p>
    <w:bookmarkEnd w:id="108"/>
    <w:p>
      <w:pPr>
        <w:pStyle w:val="BodyText"/>
      </w:pPr>
      <w:r>
        <w:rPr>
          <w:lang w:val="en"/>
        </w:rPr>
        <w:t xml:space="preserve">¶1</w:t>
      </w:r>
      <w:r>
        <w:rPr>
          <w:lang w:val="en"/>
        </w:rPr>
        <w:t xml:space="preserve"> </w:t>
      </w:r>
      <w:r>
        <w:rPr>
          <w:lang w:val="en"/>
        </w:rPr>
        <w:t xml:space="preserve">Compilers should draw on the standard global repositories and monitoring networks for marine biological condition data.</w:t>
      </w:r>
      <w:hyperlink w:anchor="user-content-fn-20">
        <w:r>
          <w:rPr>
            <w:rStyle w:val="Hyperlink"/>
            <w:vertAlign w:val="superscript"/>
            <w:lang w:val="en"/>
          </w:rPr>
          <w:t xml:space="preserve">14</w:t>
        </w:r>
      </w:hyperlink>
      <w:r>
        <w:rPr>
          <w:lang w:val="en"/>
        </w:rPr>
        <w:t xml:space="preserve"> </w:t>
      </w:r>
      <w:r>
        <w:rPr>
          <w:lang w:val="en"/>
        </w:rPr>
        <w:t xml:space="preserve">See</w:t>
      </w:r>
      <w:r>
        <w:rPr>
          <w:lang w:val="en"/>
        </w:rPr>
        <w:t xml:space="preserve"> </w:t>
      </w:r>
      <w:hyperlink r:id="rId109">
        <w:r>
          <w:rPr>
            <w:rStyle w:val="Hyperlink"/>
            <w:lang w:val="en"/>
          </w:rPr>
          <w:t xml:space="preserve">TG-4.6 Data harmonisation</w:t>
        </w:r>
      </w:hyperlink>
      <w:r>
        <w:rPr>
          <w:lang w:val="en"/>
        </w:rPr>
        <w:t xml:space="preserve"> </w:t>
      </w:r>
      <w:r>
        <w:rPr>
          <w:lang w:val="en"/>
        </w:rPr>
        <w:t xml:space="preserve">for full treatment of inter-source comparability and metadata standards.</w:t>
      </w:r>
    </w:p>
    <w:p>
      <w:r>
        <w:pict>
          <v:rect style="width:0;height:1.5pt" o:hralign="center" o:hrstd="t" o:hr="t"/>
        </w:pict>
      </w:r>
    </w:p>
    <w:bookmarkStart w:id="112" w:name="Xef91d0b2d7fa838f2be52cfe6cabf0ba2b5a6bc"/>
    <w:p>
      <w:pPr>
        <w:pStyle w:val="Heading3"/>
      </w:pPr>
      <w:r>
        <w:rPr>
          <w:lang w:val="en"/>
        </w:rPr>
        <w:t xml:space="preserve">3.5</w:t>
      </w:r>
      <w:r>
        <w:rPr>
          <w:lang w:val="en"/>
        </w:rPr>
        <w:t xml:space="preserve"> </w:t>
      </w:r>
      <w:r>
        <w:rPr>
          <w:lang w:val="en"/>
        </w:rPr>
        <w:t xml:space="preserve">Reporting and Integration</w:t>
      </w:r>
    </w:p>
    <w:p>
      <w:pPr>
        <w:pStyle w:val="FirstParagraph"/>
      </w:pPr>
      <w:hyperlink w:anchor="Xef91d0b2d7fa838f2be52cfe6cabf0ba2b5a6bc">
        <w:r>
          <w:drawing>
            <wp:inline>
              <wp:extent cx="152400" cy="152400"/>
              <wp:effectExtent b="0" l="0" r="0" t="0"/>
              <wp:docPr descr="" title="" id="11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Reporting and Integration”</w:t>
        </w:r>
      </w:hyperlink>
    </w:p>
    <w:bookmarkEnd w:id="112"/>
    <w:bookmarkStart w:id="115" w:name="Xce46a89583b2a6a7f53d950fcd14745dac90f61"/>
    <w:p>
      <w:pPr>
        <w:pStyle w:val="Heading4"/>
      </w:pPr>
      <w:r>
        <w:rPr>
          <w:lang w:val="en"/>
        </w:rPr>
        <w:t xml:space="preserve">3.5.1</w:t>
      </w:r>
      <w:r>
        <w:rPr>
          <w:lang w:val="en"/>
        </w:rPr>
        <w:t xml:space="preserve"> </w:t>
      </w:r>
      <w:r>
        <w:rPr>
          <w:lang w:val="en"/>
        </w:rPr>
        <w:t xml:space="preserve">Pathway from Measurement to Delivered Indicator</w:t>
      </w:r>
    </w:p>
    <w:p>
      <w:pPr>
        <w:pStyle w:val="FirstParagraph"/>
      </w:pPr>
      <w:hyperlink w:anchor="Xce46a89583b2a6a7f53d950fcd14745dac90f61">
        <w:r>
          <w:drawing>
            <wp:inline>
              <wp:extent cx="152400" cy="152400"/>
              <wp:effectExtent b="0" l="0" r="0" t="0"/>
              <wp:docPr descr="" title="" id="11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Pathway from Measurement to Delivered Indicator”</w:t>
        </w:r>
      </w:hyperlink>
    </w:p>
    <w:bookmarkEnd w:id="115"/>
    <w:p>
      <w:pPr>
        <w:pStyle w:val="BodyText"/>
      </w:pPr>
      <w:r>
        <w:rPr>
          <w:lang w:val="en"/>
        </w:rPr>
        <w:t xml:space="preserve">¶1</w:t>
      </w:r>
      <w:r>
        <w:rPr>
          <w:lang w:val="en"/>
        </w:rPr>
        <w:t xml:space="preserve"> </w:t>
      </w:r>
      <w:r>
        <w:rPr>
          <w:lang w:val="en"/>
        </w:rPr>
        <w:t xml:space="preserve">The variable → indicator → index pathway, rescaling formulas, and SEEA EA Table 5.2 row format are in</w:t>
      </w:r>
      <w:r>
        <w:rPr>
          <w:lang w:val="en"/>
        </w:rPr>
        <w:t xml:space="preserve"> </w:t>
      </w:r>
      <w:hyperlink r:id="rId28">
        <w:r>
          <w:rPr>
            <w:rStyle w:val="Hyperlink"/>
            <w:bCs/>
            <w:b/>
            <w:lang w:val="en"/>
          </w:rPr>
          <w:t xml:space="preserve">TG-4.8</w:t>
        </w:r>
      </w:hyperlink>
      <w:r>
        <w:rPr>
          <w:lang w:val="en"/>
        </w:rPr>
        <w:t xml:space="preserve"> </w:t>
      </w:r>
      <w:r>
        <w:rPr>
          <w:lang w:val="en"/>
        </w:rPr>
        <w:t xml:space="preserve">§3.2 and §3.5. Figure 4.9.1 traces this pathway for biological condition: each biotic ECT class (B1, B2, B3, C1) supplies measured values to a shared condition variable, the variable is ranked against the 5-tier data source hierarchy (§3.4.1), then normalised to an indicator against a documented reference. The indicator is the deliverable. The figure’s later stages — aggregation into a class index, and the Table 5.2 row — are shown to place the deliverable in context; they are compiled under</w:t>
      </w:r>
      <w:r>
        <w:rPr>
          <w:lang w:val="en"/>
        </w:rPr>
        <w:t xml:space="preserve"> </w:t>
      </w:r>
      <w:hyperlink r:id="rId33">
        <w:r>
          <w:rPr>
            <w:rStyle w:val="Hyperlink"/>
            <w:bCs/>
            <w:b/>
            <w:lang w:val="en"/>
          </w:rPr>
          <w:t xml:space="preserve">TG-2.1 Aggregate Biophysical Indicators of Environmental State</w:t>
        </w:r>
      </w:hyperlink>
      <w:r>
        <w:rPr>
          <w:lang w:val="en"/>
        </w:rPr>
        <w:t xml:space="preserve"> </w:t>
      </w:r>
      <w:r>
        <w:rPr>
          <w:lang w:val="en"/>
        </w:rPr>
        <w:t xml:space="preserve">and</w:t>
      </w:r>
      <w:r>
        <w:rPr>
          <w:lang w:val="en"/>
        </w:rPr>
        <w:t xml:space="preserve"> </w:t>
      </w:r>
      <w:hyperlink r:id="rId34">
        <w:r>
          <w:rPr>
            <w:rStyle w:val="Hyperlink"/>
            <w:bCs/>
            <w:b/>
            <w:lang w:val="en"/>
          </w:rPr>
          <w:t xml:space="preserve">TG-3.1 Asset Accounts</w:t>
        </w:r>
      </w:hyperlink>
      <w:r>
        <w:rPr>
          <w:lang w:val="en"/>
        </w:rPr>
        <w:t xml:space="preserve"> </w:t>
      </w:r>
      <w:r>
        <w:rPr>
          <w:lang w:val="en"/>
        </w:rPr>
        <w:t xml:space="preserve">Section 3.5.2 respectively.</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117" name="Picture"/>
                  <a:graphic>
                    <a:graphicData uri="http://schemas.openxmlformats.org/drawingml/2006/picture">
                      <pic:pic>
                        <pic:nvPicPr>
                          <pic:cNvPr descr="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" id="1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6"/>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4.9.1</w:t>
            </w:r>
            <w:r>
              <w:rPr>
                <w:lang w:val="en"/>
              </w:rPr>
              <w:t xml:space="preserve"> </w:t>
            </w:r>
            <w:r>
              <w:rPr>
                <w:lang w:val="en"/>
              </w:rPr>
              <w:t xml:space="preserve">Four ECT biological classes feed measured values through normalisation and aggregation into a SEEA EA Table 5.2 condition-account row. Classes C--F; 5-tier hierarchy ranks data quality. A single-variable path can bypass indicator and index steps.</w:t>
            </w:r>
            <w:r>
              <w:rPr>
                <w:lang w:val="en"/>
              </w:rPr>
              <w:t xml:space="preserve"> </w:t>
            </w:r>
            <w:r>
              <w:rPr>
                <w:lang w:val="en"/>
              </w:rPr>
              <w:t xml:space="preserve">Source:</w:t>
            </w:r>
            <w:r>
              <w:rPr>
                <w:lang w:val="en"/>
              </w:rPr>
              <w:t xml:space="preserve"> </w:t>
            </w:r>
            <w:r>
              <w:rPr>
                <w:lang w:val="en"/>
              </w:rPr>
              <w:t xml:space="preserve">TG-4.9, Section 4 (condition measurement pathway); SEEA EA 2024, Table 5.2 (condition variable account structure), paras. 5.30--5.32 (Ecosystem Condition Typology) and 5.60--5.68 (rescaling of condition variables to indicators and indices).</w:t>
            </w:r>
          </w:p>
        </w:tc>
      </w:tr>
    </w:tbl>
    <w:p>
      <w:pPr>
        <w:pStyle w:val="BodyText"/>
      </w:pPr>
      <w:r>
        <w:rPr>
          <w:lang w:val="en"/>
        </w:rPr>
        <w:t xml:space="preserve">¶2</w:t>
      </w:r>
      <w:r>
        <w:rPr>
          <w:lang w:val="en"/>
        </w:rPr>
        <w:t xml:space="preserve"> </w:t>
      </w:r>
      <w:r>
        <w:rPr>
          <w:lang w:val="en"/>
        </w:rPr>
        <w:t xml:space="preserve">Worked bio example: live coral cover measured at 24 reef sites, mean = 28%, SE = 4%, reference year 2024. Reference (ReefBase 1990—1999 historical mean) = 55%. Indicator = 28/55 = 0.51, SE = 4/55 = 0.07 (the reference being fixed). That indicator, with its standard error, reference basis and data tier, is what TG-4.9 delivers. Figure 4.9.2 carries the coral-reef core indicator set (§3.2.2) through the same pathway, scoring each indicator per ECT class and then showing the downstream class sub-indices (Class B1 = 0.71, Class B2 = 0.59) and overall Coral Reef Biological Condition Index (0.65). The aggregation weights those composites require are set under</w:t>
      </w:r>
      <w:r>
        <w:rPr>
          <w:lang w:val="en"/>
        </w:rPr>
        <w:t xml:space="preserve"> </w:t>
      </w:r>
      <w:hyperlink r:id="rId33">
        <w:r>
          <w:rPr>
            <w:rStyle w:val="Hyperlink"/>
            <w:bCs/>
            <w:b/>
            <w:lang w:val="en"/>
          </w:rPr>
          <w:t xml:space="preserve">TG-2.1</w:t>
        </w:r>
      </w:hyperlink>
      <w:r>
        <w:rPr>
          <w:lang w:val="en"/>
        </w:rPr>
        <w:t xml:space="preserve">, not here. Coordinate with</w:t>
      </w:r>
      <w:r>
        <w:rPr>
          <w:lang w:val="en"/>
        </w:rPr>
        <w:t xml:space="preserve"> </w:t>
      </w:r>
      <w:hyperlink r:id="rId34">
        <w:r>
          <w:rPr>
            <w:rStyle w:val="Hyperlink"/>
            <w:bCs/>
            <w:b/>
            <w:lang w:val="en"/>
          </w:rPr>
          <w:t xml:space="preserve">TG-3.1 Asset Accounts</w:t>
        </w:r>
      </w:hyperlink>
      <w:r>
        <w:rPr>
          <w:lang w:val="en"/>
        </w:rPr>
        <w:t xml:space="preserve"> </w:t>
      </w:r>
      <w:r>
        <w:rPr>
          <w:lang w:val="en"/>
        </w:rPr>
        <w:t xml:space="preserve">on ECT classification before delivering, so that indicator identifiers match the account’s rows.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120" name="Picture"/>
                  <a:graphic>
                    <a:graphicData uri="http://schemas.openxmlformats.org/drawingml/2006/picture">
                      <pic:pic>
                        <pic:nvPicPr>
                          <pic:cNvPr descr="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" id="1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9"/>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4.9.2</w:t>
            </w:r>
            <w:r>
              <w:rPr>
                <w:lang w:val="en"/>
              </w:rPr>
              <w:t xml:space="preserve"> </w:t>
            </w:r>
            <w:r>
              <w:rPr>
                <w:lang w:val="en"/>
              </w:rPr>
              <w:t xml:space="preserve">Coral-reef worked example scores compositional and structural indicators into class sub-indices and an overall biological condition index. Class C and D indicators aggregate per SEEA EA Table 5.2. Non-cover scores and weights are illustrative.</w:t>
            </w:r>
            <w:r>
              <w:rPr>
                <w:lang w:val="en"/>
              </w:rPr>
              <w:t xml:space="preserve"> </w:t>
            </w:r>
            <w:r>
              <w:rPr>
                <w:lang w:val="en"/>
              </w:rPr>
              <w:t xml:space="preserve">Source:</w:t>
            </w:r>
            <w:r>
              <w:rPr>
                <w:lang w:val="en"/>
              </w:rPr>
              <w:t xml:space="preserve"> </w:t>
            </w:r>
            <w:r>
              <w:rPr>
                <w:lang w:val="en"/>
              </w:rPr>
              <w:t xml:space="preserve">TG-4.9 §3.2.2 (coral-reef indicator set, ECT classes, data tiers), §3.4.1 (5-tier data source hierarchy), §3.5.1 (worked live-coral-cover rescaling), §3.5.3 (account populated by ECT class); SEEA EA (2021), Table 5.2 (condition account structure) and §§5.65--5.75 (reference condition) and §§5.60--5.68 (rescaling to condition indicators). Rescaled values other than live coral cover, and the aggregation weights, are illustrative.</w:t>
            </w:r>
          </w:p>
        </w:tc>
      </w:tr>
    </w:tbl>
    <w:bookmarkStart w:id="124" w:name="Xcf98ba61466ba8f53b7519bbabcbd19d9fa5704"/>
    <w:p>
      <w:pPr>
        <w:pStyle w:val="Heading4"/>
      </w:pPr>
      <w:r>
        <w:rPr>
          <w:lang w:val="en"/>
        </w:rPr>
        <w:t xml:space="preserve">3.5.2</w:t>
      </w:r>
      <w:r>
        <w:rPr>
          <w:lang w:val="en"/>
        </w:rPr>
        <w:t xml:space="preserve"> </w:t>
      </w:r>
      <w:r>
        <w:rPr>
          <w:lang w:val="en"/>
        </w:rPr>
        <w:t xml:space="preserve">Integration with Physical Condition (TG-4.8)</w:t>
      </w:r>
    </w:p>
    <w:p>
      <w:pPr>
        <w:pStyle w:val="FirstParagraph"/>
      </w:pPr>
      <w:hyperlink w:anchor="Xcf98ba61466ba8f53b7519bbabcbd19d9fa5704">
        <w:r>
          <w:drawing>
            <wp:inline>
              <wp:extent cx="152400" cy="152400"/>
              <wp:effectExtent b="0" l="0" r="0" t="0"/>
              <wp:docPr descr="" title="" id="12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Integration with Physical Condition (TG-4.8)”</w:t>
        </w:r>
      </w:hyperlink>
    </w:p>
    <w:bookmarkEnd w:id="124"/>
    <w:p>
      <w:pPr>
        <w:pStyle w:val="BodyText"/>
      </w:pPr>
      <w:r>
        <w:rPr>
          <w:lang w:val="en"/>
        </w:rPr>
        <w:t xml:space="preserve">¶1</w:t>
      </w:r>
      <w:r>
        <w:rPr>
          <w:lang w:val="en"/>
        </w:rPr>
        <w:t xml:space="preserve"> </w:t>
      </w:r>
      <w:r>
        <w:rPr>
          <w:lang w:val="en"/>
        </w:rPr>
        <w:t xml:space="preserve">Biological condition indicators should be delivered alongside physical condition variables (compiled per</w:t>
      </w:r>
      <w:r>
        <w:rPr>
          <w:lang w:val="en"/>
        </w:rPr>
        <w:t xml:space="preserve"> </w:t>
      </w:r>
      <w:hyperlink r:id="rId28">
        <w:r>
          <w:rPr>
            <w:rStyle w:val="Hyperlink"/>
            <w:lang w:val="en"/>
          </w:rPr>
          <w:t xml:space="preserve">TG-4.8</w:t>
        </w:r>
      </w:hyperlink>
      <w:r>
        <w:rPr>
          <w:lang w:val="en"/>
        </w:rPr>
        <w:t xml:space="preserve">) for the same accounting period. Joint reporting enables attribution analysis: for example, a decline in coral cover (biological) co-occurring with elevated Degree Heating Weeks (physical — thermal stress) supports attribution of the biological change to bleaching pressure. Compilers should flag where biological condition indicators are likely responding to changes in physical condition variables observed in the same accounting period.</w:t>
      </w:r>
    </w:p>
    <w:bookmarkStart w:id="127" w:name="Xbbdb058361d78aed881484229e435fbe7c6f57c"/>
    <w:p>
      <w:pPr>
        <w:pStyle w:val="Heading4"/>
      </w:pPr>
      <w:r>
        <w:rPr>
          <w:lang w:val="en"/>
        </w:rPr>
        <w:t xml:space="preserve">3.5.3</w:t>
      </w:r>
      <w:r>
        <w:rPr>
          <w:lang w:val="en"/>
        </w:rPr>
        <w:t xml:space="preserve"> </w:t>
      </w:r>
      <w:r>
        <w:rPr>
          <w:lang w:val="en"/>
        </w:rPr>
        <w:t xml:space="preserve">Handover to Condition Accounts Compilation</w:t>
      </w:r>
    </w:p>
    <w:p>
      <w:pPr>
        <w:pStyle w:val="FirstParagraph"/>
      </w:pPr>
      <w:hyperlink w:anchor="Xbbdb058361d78aed881484229e435fbe7c6f57c">
        <w:r>
          <w:drawing>
            <wp:inline>
              <wp:extent cx="152400" cy="152400"/>
              <wp:effectExtent b="0" l="0" r="0" t="0"/>
              <wp:docPr descr="" title="" id="12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“3.5.3 Handover to Condition Accounts Compilation”</w:t>
        </w:r>
      </w:hyperlink>
    </w:p>
    <w:bookmarkEnd w:id="127"/>
    <w:p>
      <w:pPr>
        <w:pStyle w:val="BodyText"/>
      </w:pPr>
      <w:r>
        <w:rPr>
          <w:lang w:val="en"/>
        </w:rPr>
        <w:t xml:space="preserve">¶1</w:t>
      </w:r>
      <w:r>
        <w:rPr>
          <w:lang w:val="en"/>
        </w:rPr>
        <w:t xml:space="preserve"> </w:t>
      </w:r>
      <w:r>
        <w:rPr>
          <w:lang w:val="en"/>
        </w:rPr>
        <w:t xml:space="preserve">The biological condition indicators compiled following this Circular supply the ECT Class B1 and Class B2 rows of the ecosystem condition account, which is compiled in</w:t>
      </w:r>
      <w:r>
        <w:rPr>
          <w:lang w:val="en"/>
        </w:rPr>
        <w:t xml:space="preserve"> </w:t>
      </w:r>
      <w:hyperlink r:id="rId34">
        <w:r>
          <w:rPr>
            <w:rStyle w:val="Hyperlink"/>
            <w:bCs/>
            <w:b/>
            <w:lang w:val="en"/>
          </w:rPr>
          <w:t xml:space="preserve">TG-3.1 Asset Accounts</w:t>
        </w:r>
      </w:hyperlink>
      <w:r>
        <w:rPr>
          <w:lang w:val="en"/>
        </w:rPr>
        <w:t xml:space="preserve"> </w:t>
      </w:r>
      <w:r>
        <w:rPr>
          <w:lang w:val="en"/>
        </w:rPr>
        <w:t xml:space="preserve">Section 3.5.2. Compilers using</w:t>
      </w:r>
      <w:r>
        <w:rPr>
          <w:lang w:val="en"/>
        </w:rPr>
        <w:t xml:space="preserve"> </w:t>
      </w:r>
      <w:hyperlink r:id="rId34">
        <w:r>
          <w:rPr>
            <w:rStyle w:val="Hyperlink"/>
            <w:lang w:val="en"/>
          </w:rPr>
          <w:t xml:space="preserve">TG-3.1</w:t>
        </w:r>
      </w:hyperlink>
      <w:r>
        <w:rPr>
          <w:lang w:val="en"/>
        </w:rPr>
        <w:t xml:space="preserve"> </w:t>
      </w:r>
      <w:r>
        <w:rPr>
          <w:lang w:val="en"/>
        </w:rPr>
        <w:t xml:space="preserve">should cross-reference the indicator identifiers used in this Circular’s variable table (§3.4.2) with the ECT classification scheme in the account template, to ensure consistent labelling across ecosystem types and accounting periods.</w:t>
      </w:r>
    </w:p>
    <w:bookmarkStart w:id="130" w:name="X17d62cf945b2ab30c5868cfebf2efb162d0e24d"/>
    <w:p>
      <w:pPr>
        <w:pStyle w:val="Heading4"/>
      </w:pPr>
      <w:r>
        <w:rPr>
          <w:lang w:val="en"/>
        </w:rPr>
        <w:t xml:space="preserve">3.5.4</w:t>
      </w:r>
      <w:r>
        <w:rPr>
          <w:lang w:val="en"/>
        </w:rPr>
        <w:t xml:space="preserve"> </w:t>
      </w:r>
      <w:r>
        <w:rPr>
          <w:lang w:val="en"/>
        </w:rPr>
        <w:t xml:space="preserve">Uncertainty Reporting</w:t>
      </w:r>
    </w:p>
    <w:p>
      <w:pPr>
        <w:pStyle w:val="FirstParagraph"/>
      </w:pPr>
      <w:hyperlink w:anchor="X17d62cf945b2ab30c5868cfebf2efb162d0e24d">
        <w:r>
          <w:drawing>
            <wp:inline>
              <wp:extent cx="152400" cy="152400"/>
              <wp:effectExtent b="0" l="0" r="0" t="0"/>
              <wp:docPr descr="" title="" id="12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“3.5.4 Uncertainty Reporting”</w:t>
        </w:r>
      </w:hyperlink>
    </w:p>
    <w:bookmarkEnd w:id="130"/>
    <w:p>
      <w:pPr>
        <w:pStyle w:val="BodyText"/>
      </w:pPr>
      <w:r>
        <w:rPr>
          <w:lang w:val="en"/>
        </w:rPr>
        <w:t xml:space="preserve">¶1</w:t>
      </w:r>
      <w:r>
        <w:rPr>
          <w:lang w:val="en"/>
        </w:rPr>
        <w:t xml:space="preserve"> </w:t>
      </w:r>
      <w:r>
        <w:rPr>
          <w:lang w:val="en"/>
        </w:rPr>
        <w:t xml:space="preserve">General uncertainty reporting (measurement, representativeness, model) is in</w:t>
      </w:r>
      <w:r>
        <w:rPr>
          <w:lang w:val="en"/>
        </w:rPr>
        <w:t xml:space="preserve"> </w:t>
      </w:r>
      <w:hyperlink r:id="rId28">
        <w:r>
          <w:rPr>
            <w:rStyle w:val="Hyperlink"/>
            <w:bCs/>
            <w:b/>
            <w:lang w:val="en"/>
          </w:rPr>
          <w:t xml:space="preserve">TG-4.8</w:t>
        </w:r>
      </w:hyperlink>
      <w:r>
        <w:rPr>
          <w:lang w:val="en"/>
        </w:rPr>
        <w:t xml:space="preserve"> </w:t>
      </w:r>
      <w:r>
        <w:rPr>
          <w:lang w:val="en"/>
        </w:rPr>
        <w:t xml:space="preserve">§3.5 and</w:t>
      </w:r>
      <w:r>
        <w:rPr>
          <w:lang w:val="en"/>
        </w:rPr>
        <w:t xml:space="preserve"> </w:t>
      </w:r>
      <w:hyperlink r:id="rId43">
        <w:r>
          <w:rPr>
            <w:rStyle w:val="Hyperlink"/>
            <w:bCs/>
            <w:b/>
            <w:lang w:val="en"/>
          </w:rPr>
          <w:t xml:space="preserve">TG-0.7</w:t>
        </w:r>
      </w:hyperlink>
      <w:r>
        <w:rPr>
          <w:lang w:val="en"/>
        </w:rPr>
        <w:t xml:space="preserve">. Bio-specific metadata additions: sampling design SE (transect/quadrat means), detection probability for BRUVS and acoustic surveys, clustering bias in citizen-science data, data-tier flag (§3.4.1), and reference-condition basis. Spatial data follow ISO 19115, and occurrence records follow Darwin Core (OBIS/GBIF).</w:t>
      </w:r>
    </w:p>
    <w:p>
      <w:r>
        <w:pict>
          <v:rect style="width:0;height:1.5pt" o:hralign="center" o:hrstd="t" o:hr="t"/>
        </w:pict>
      </w:r>
    </w:p>
    <w:bookmarkStart w:id="133"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3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33"/>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p>
      <w:r>
        <w:pict>
          <v:rect style="width:0;height:1.5pt" o:hralign="center" o:hrstd="t" o:hr="t"/>
        </w:pict>
      </w:r>
    </w:p>
    <w:bookmarkStart w:id="136"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36"/>
    <w:p>
      <w:pPr>
        <w:pStyle w:val="BodyText"/>
      </w:pPr>
      <w:bookmarkStart w:id="137" w:name="footnotes-label"/>
      <w:r>
        <w:rPr>
          <w:lang w:val="en"/>
        </w:rPr>
        <w:t xml:space="preserve">Footnotes</w:t>
      </w:r>
      <w:bookmarkEnd w:id="137"/>
    </w:p>
    <w:p>
      <w:pPr>
        <w:numPr>
          <w:ilvl w:val="0"/>
          <w:numId w:val="1009"/>
        </w:numPr>
      </w:pPr>
      <w:bookmarkStart w:id="138" w:name="user-content-fn-1"/>
      <w:r>
        <w:rPr>
          <w:lang w:val="en"/>
        </w:rPr>
        <w:t xml:space="preserve">¶1</w:t>
      </w:r>
      <w:r>
        <w:rPr>
          <w:lang w:val="en"/>
        </w:rPr>
        <w:t xml:space="preserve"> </w:t>
      </w:r>
      <w:bookmarkEnd w:id="138"/>
    </w:p>
    <w:p>
      <w:pPr>
        <w:numPr>
          <w:ilvl w:val="0"/>
          <w:numId w:val="1000"/>
        </w:numPr>
      </w:pPr>
      <w:r>
        <w:rPr>
          <w:lang w:val="en"/>
        </w:rPr>
        <w:t xml:space="preserve">United Nations et al. (2021).</w:t>
      </w:r>
      <w:r>
        <w:rPr>
          <w:lang w:val="en"/>
        </w:rPr>
        <w:t xml:space="preserve"> </w:t>
      </w:r>
      <w:r>
        <w:rPr>
          <w:iCs/>
          <w:i/>
          <w:lang w:val="en"/>
        </w:rPr>
        <w:t xml:space="preserve">System of Environmental-Economic Accounting — Ecosystem Accounting (SEEA EA)</w:t>
      </w:r>
      <w:r>
        <w:rPr>
          <w:lang w:val="en"/>
        </w:rPr>
        <w:t xml:space="preserve">. United Nations Statistics Division. Chapter 5, §5.1.</w:t>
      </w:r>
      <w:r>
        <w:rPr>
          <w:lang w:val="en"/>
        </w:rPr>
        <w:t xml:space="preserve"> </w:t>
      </w:r>
      <w:hyperlink w:anchor="user-content-fnref-1">
        <w:r>
          <w:rPr>
            <w:rStyle w:val="Hyperlink"/>
            <w:lang w:val="en"/>
          </w:rPr>
          <w:t xml:space="preserve">↩</w:t>
        </w:r>
      </w:hyperlink>
    </w:p>
    <w:p>
      <w:pPr>
        <w:numPr>
          <w:ilvl w:val="0"/>
          <w:numId w:val="1009"/>
        </w:numPr>
      </w:pPr>
      <w:bookmarkStart w:id="139" w:name="user-content-fn-3"/>
      <w:r>
        <w:rPr>
          <w:lang w:val="en"/>
        </w:rPr>
        <w:t xml:space="preserve">¶2</w:t>
      </w:r>
      <w:r>
        <w:rPr>
          <w:lang w:val="en"/>
        </w:rPr>
        <w:t xml:space="preserve"> </w:t>
      </w:r>
      <w:bookmarkEnd w:id="139"/>
    </w:p>
    <w:p>
      <w:pPr>
        <w:numPr>
          <w:ilvl w:val="0"/>
          <w:numId w:val="1000"/>
        </w:numPr>
      </w:pPr>
      <w:r>
        <w:rPr>
          <w:lang w:val="en"/>
        </w:rPr>
        <w:t xml:space="preserve">SEEA EA (2021), §5.10. See also: Secretariat of the Convention on Biological Diversity (2020).</w:t>
      </w:r>
      <w:r>
        <w:rPr>
          <w:lang w:val="en"/>
        </w:rPr>
        <w:t xml:space="preserve"> </w:t>
      </w:r>
      <w:r>
        <w:rPr>
          <w:iCs/>
          <w:i/>
          <w:lang w:val="en"/>
        </w:rPr>
        <w:t xml:space="preserve">Global Biodiversity Outlook 5</w:t>
      </w:r>
      <w:r>
        <w:rPr>
          <w:lang w:val="en"/>
        </w:rPr>
        <w:t xml:space="preserve">. CBD Secretariat.</w:t>
      </w:r>
      <w:r>
        <w:rPr>
          <w:lang w:val="en"/>
        </w:rPr>
        <w:t xml:space="preserve"> </w:t>
      </w:r>
      <w:hyperlink w:anchor="user-content-fnref-3">
        <w:r>
          <w:rPr>
            <w:rStyle w:val="Hyperlink"/>
            <w:lang w:val="en"/>
          </w:rPr>
          <w:t xml:space="preserve">↩</w:t>
        </w:r>
      </w:hyperlink>
    </w:p>
    <w:p>
      <w:pPr>
        <w:numPr>
          <w:ilvl w:val="0"/>
          <w:numId w:val="1009"/>
        </w:numPr>
      </w:pPr>
      <w:bookmarkStart w:id="140" w:name="user-content-fn-4"/>
      <w:r>
        <w:rPr>
          <w:lang w:val="en"/>
        </w:rPr>
        <w:t xml:space="preserve">¶3</w:t>
      </w:r>
      <w:r>
        <w:rPr>
          <w:lang w:val="en"/>
        </w:rPr>
        <w:t xml:space="preserve"> </w:t>
      </w:r>
      <w:bookmarkEnd w:id="140"/>
    </w:p>
    <w:p>
      <w:pPr>
        <w:numPr>
          <w:ilvl w:val="0"/>
          <w:numId w:val="1000"/>
        </w:numPr>
      </w:pPr>
      <w:r>
        <w:rPr>
          <w:lang w:val="en"/>
        </w:rPr>
        <w:t xml:space="preserve">SEEA EA (2021), §§5.46—5.68. The ECT is reproduced in full in Annex 5A.</w:t>
      </w:r>
      <w:r>
        <w:rPr>
          <w:lang w:val="en"/>
        </w:rPr>
        <w:t xml:space="preserve"> </w:t>
      </w:r>
      <w:hyperlink w:anchor="user-content-fnref-4">
        <w:r>
          <w:rPr>
            <w:rStyle w:val="Hyperlink"/>
            <w:lang w:val="en"/>
          </w:rPr>
          <w:t xml:space="preserve">↩</w:t>
        </w:r>
      </w:hyperlink>
    </w:p>
    <w:p>
      <w:pPr>
        <w:numPr>
          <w:ilvl w:val="0"/>
          <w:numId w:val="1009"/>
        </w:numPr>
      </w:pPr>
      <w:bookmarkStart w:id="141" w:name="user-content-fn-5"/>
      <w:r>
        <w:rPr>
          <w:lang w:val="en"/>
        </w:rPr>
        <w:t xml:space="preserve">¶4</w:t>
      </w:r>
      <w:r>
        <w:rPr>
          <w:lang w:val="en"/>
        </w:rPr>
        <w:t xml:space="preserve"> </w:t>
      </w:r>
      <w:bookmarkEnd w:id="141"/>
    </w:p>
    <w:p>
      <w:pPr>
        <w:numPr>
          <w:ilvl w:val="0"/>
          <w:numId w:val="1000"/>
        </w:numPr>
      </w:pPr>
      <w:r>
        <w:rPr>
          <w:lang w:val="en"/>
        </w:rPr>
        <w:t xml:space="preserve">SEEA EA (2021), §§5.65—5.75 and Appendix A5.2 (reference-condition framework; see TG-4.8 §3.1 for the canonical write-up).</w:t>
      </w:r>
      <w:r>
        <w:rPr>
          <w:lang w:val="en"/>
        </w:rPr>
        <w:t xml:space="preserve"> </w:t>
      </w:r>
      <w:hyperlink w:anchor="user-content-fnref-5">
        <w:r>
          <w:rPr>
            <w:rStyle w:val="Hyperlink"/>
            <w:lang w:val="en"/>
          </w:rPr>
          <w:t xml:space="preserve">↩</w:t>
        </w:r>
      </w:hyperlink>
    </w:p>
    <w:p>
      <w:pPr>
        <w:numPr>
          <w:ilvl w:val="0"/>
          <w:numId w:val="1009"/>
        </w:numPr>
      </w:pPr>
      <w:bookmarkStart w:id="142" w:name="user-content-fn-10"/>
      <w:r>
        <w:rPr>
          <w:lang w:val="en"/>
        </w:rPr>
        <w:t xml:space="preserve">¶5</w:t>
      </w:r>
      <w:r>
        <w:rPr>
          <w:lang w:val="en"/>
        </w:rPr>
        <w:t xml:space="preserve"> </w:t>
      </w:r>
      <w:bookmarkEnd w:id="142"/>
    </w:p>
    <w:p>
      <w:pPr>
        <w:numPr>
          <w:ilvl w:val="0"/>
          <w:numId w:val="1000"/>
        </w:numPr>
      </w:pPr>
      <w:r>
        <w:rPr>
          <w:lang w:val="en"/>
        </w:rPr>
        <w:t xml:space="preserve">European Commission (2008). Marine Strategy Framework Directive (2008/56/EC), Annex I, Descriptor D2 (Non-Indigenous Species).</w:t>
      </w:r>
      <w:r>
        <w:rPr>
          <w:lang w:val="en"/>
        </w:rPr>
        <w:t xml:space="preserve"> </w:t>
      </w:r>
      <w:hyperlink w:anchor="user-content-fnref-10">
        <w:r>
          <w:rPr>
            <w:rStyle w:val="Hyperlink"/>
            <w:lang w:val="en"/>
          </w:rPr>
          <w:t xml:space="preserve">↩</w:t>
        </w:r>
      </w:hyperlink>
      <w:r>
        <w:rPr>
          <w:lang w:val="en"/>
        </w:rPr>
        <w:t xml:space="preserve"> </w:t>
      </w:r>
      <w:hyperlink w:anchor="user-content-fnref-10-2">
        <w:r>
          <w:rPr>
            <w:rStyle w:val="Hyperlink"/>
            <w:lang w:val="en"/>
          </w:rPr>
          <w:t xml:space="preserve">↩</w:t>
        </w:r>
        <w:r>
          <w:rPr>
            <w:rStyle w:val="Hyperlink"/>
            <w:vertAlign w:val="superscript"/>
            <w:lang w:val="en"/>
          </w:rPr>
          <w:t xml:space="preserve">2</w:t>
        </w:r>
      </w:hyperlink>
    </w:p>
    <w:p>
      <w:pPr>
        <w:numPr>
          <w:ilvl w:val="0"/>
          <w:numId w:val="1009"/>
        </w:numPr>
      </w:pPr>
      <w:bookmarkStart w:id="143" w:name="user-content-fn-11"/>
      <w:r>
        <w:rPr>
          <w:lang w:val="en"/>
        </w:rPr>
        <w:t xml:space="preserve">¶6</w:t>
      </w:r>
      <w:r>
        <w:rPr>
          <w:lang w:val="en"/>
        </w:rPr>
        <w:t xml:space="preserve"> </w:t>
      </w:r>
      <w:bookmarkEnd w:id="143"/>
    </w:p>
    <w:p>
      <w:pPr>
        <w:numPr>
          <w:ilvl w:val="0"/>
          <w:numId w:val="1000"/>
        </w:numPr>
      </w:pPr>
      <w:r>
        <w:rPr>
          <w:lang w:val="en"/>
        </w:rPr>
        <w:t xml:space="preserve">Global Coral Reef Monitoring Network (2021).</w:t>
      </w:r>
      <w:r>
        <w:rPr>
          <w:lang w:val="en"/>
        </w:rPr>
        <w:t xml:space="preserve"> </w:t>
      </w:r>
      <w:r>
        <w:rPr>
          <w:iCs/>
          <w:i/>
          <w:lang w:val="en"/>
        </w:rPr>
        <w:t xml:space="preserve">The Coral Reef Status Report 2020</w:t>
      </w:r>
      <w:r>
        <w:rPr>
          <w:lang w:val="en"/>
        </w:rPr>
        <w:t xml:space="preserve">. GCRMN. See also: GCRMN (2021).</w:t>
      </w:r>
      <w:r>
        <w:rPr>
          <w:lang w:val="en"/>
        </w:rPr>
        <w:t xml:space="preserve"> </w:t>
      </w:r>
      <w:r>
        <w:rPr>
          <w:iCs/>
          <w:i/>
          <w:lang w:val="en"/>
        </w:rPr>
        <w:t xml:space="preserve">GCRMN Methods Manual for Coral Reef Monitoring and Assessment</w:t>
      </w:r>
      <w:r>
        <w:rPr>
          <w:lang w:val="en"/>
        </w:rPr>
        <w:t xml:space="preserve"> </w:t>
      </w:r>
      <w:r>
        <w:rPr>
          <w:lang w:val="en"/>
        </w:rPr>
        <w:t xml:space="preserve">(2nd ed.).</w:t>
      </w:r>
      <w:r>
        <w:rPr>
          <w:lang w:val="en"/>
        </w:rPr>
        <w:t xml:space="preserve"> </w:t>
      </w:r>
      <w:hyperlink w:anchor="user-content-fnref-11">
        <w:r>
          <w:rPr>
            <w:rStyle w:val="Hyperlink"/>
            <w:lang w:val="en"/>
          </w:rPr>
          <w:t xml:space="preserve">↩</w:t>
        </w:r>
      </w:hyperlink>
      <w:r>
        <w:rPr>
          <w:lang w:val="en"/>
        </w:rPr>
        <w:t xml:space="preserve"> </w:t>
      </w:r>
      <w:hyperlink w:anchor="user-content-fnref-11-2">
        <w:r>
          <w:rPr>
            <w:rStyle w:val="Hyperlink"/>
            <w:lang w:val="en"/>
          </w:rPr>
          <w:t xml:space="preserve">↩</w:t>
        </w:r>
        <w:r>
          <w:rPr>
            <w:rStyle w:val="Hyperlink"/>
            <w:vertAlign w:val="superscript"/>
            <w:lang w:val="en"/>
          </w:rPr>
          <w:t xml:space="preserve">2</w:t>
        </w:r>
      </w:hyperlink>
      <w:r>
        <w:rPr>
          <w:lang w:val="en"/>
        </w:rPr>
        <w:t xml:space="preserve"> </w:t>
      </w:r>
      <w:hyperlink w:anchor="user-content-fnref-11-3">
        <w:r>
          <w:rPr>
            <w:rStyle w:val="Hyperlink"/>
            <w:lang w:val="en"/>
          </w:rPr>
          <w:t xml:space="preserve">↩</w:t>
        </w:r>
        <w:r>
          <w:rPr>
            <w:rStyle w:val="Hyperlink"/>
            <w:vertAlign w:val="superscript"/>
            <w:lang w:val="en"/>
          </w:rPr>
          <w:t xml:space="preserve">3</w:t>
        </w:r>
      </w:hyperlink>
      <w:r>
        <w:rPr>
          <w:lang w:val="en"/>
        </w:rPr>
        <w:t xml:space="preserve"> </w:t>
      </w:r>
      <w:hyperlink w:anchor="user-content-fnref-11-4">
        <w:r>
          <w:rPr>
            <w:rStyle w:val="Hyperlink"/>
            <w:lang w:val="en"/>
          </w:rPr>
          <w:t xml:space="preserve">↩</w:t>
        </w:r>
        <w:r>
          <w:rPr>
            <w:rStyle w:val="Hyperlink"/>
            <w:vertAlign w:val="superscript"/>
            <w:lang w:val="en"/>
          </w:rPr>
          <w:t xml:space="preserve">4</w:t>
        </w:r>
      </w:hyperlink>
    </w:p>
    <w:p>
      <w:pPr>
        <w:numPr>
          <w:ilvl w:val="0"/>
          <w:numId w:val="1009"/>
        </w:numPr>
      </w:pPr>
      <w:bookmarkStart w:id="144" w:name="user-content-fn-12"/>
      <w:r>
        <w:rPr>
          <w:lang w:val="en"/>
        </w:rPr>
        <w:t xml:space="preserve">¶7</w:t>
      </w:r>
      <w:r>
        <w:rPr>
          <w:lang w:val="en"/>
        </w:rPr>
        <w:t xml:space="preserve"> </w:t>
      </w:r>
      <w:bookmarkEnd w:id="144"/>
    </w:p>
    <w:p>
      <w:pPr>
        <w:numPr>
          <w:ilvl w:val="0"/>
          <w:numId w:val="1000"/>
        </w:numPr>
      </w:pPr>
      <w:r>
        <w:rPr>
          <w:lang w:val="en"/>
        </w:rPr>
        <w:t xml:space="preserve">Short, F.T. et al. (2001).</w:t>
      </w:r>
      <w:r>
        <w:rPr>
          <w:lang w:val="en"/>
        </w:rPr>
        <w:t xml:space="preserve"> </w:t>
      </w:r>
      <w:r>
        <w:rPr>
          <w:iCs/>
          <w:i/>
          <w:lang w:val="en"/>
        </w:rPr>
        <w:t xml:space="preserve">SeagrassNet Manual for Scientific Monitoring of Seagrass Habitat</w:t>
      </w:r>
      <w:r>
        <w:rPr>
          <w:lang w:val="en"/>
        </w:rPr>
        <w:t xml:space="preserve">. SeagrassNet Programme.</w:t>
      </w:r>
      <w:r>
        <w:rPr>
          <w:lang w:val="en"/>
        </w:rPr>
        <w:t xml:space="preserve"> </w:t>
      </w:r>
      <w:hyperlink w:anchor="user-content-fnref-12">
        <w:r>
          <w:rPr>
            <w:rStyle w:val="Hyperlink"/>
            <w:lang w:val="en"/>
          </w:rPr>
          <w:t xml:space="preserve">↩</w:t>
        </w:r>
      </w:hyperlink>
      <w:r>
        <w:rPr>
          <w:lang w:val="en"/>
        </w:rPr>
        <w:t xml:space="preserve"> </w:t>
      </w:r>
      <w:hyperlink w:anchor="user-content-fnref-12-2">
        <w:r>
          <w:rPr>
            <w:rStyle w:val="Hyperlink"/>
            <w:lang w:val="en"/>
          </w:rPr>
          <w:t xml:space="preserve">↩</w:t>
        </w:r>
        <w:r>
          <w:rPr>
            <w:rStyle w:val="Hyperlink"/>
            <w:vertAlign w:val="superscript"/>
            <w:lang w:val="en"/>
          </w:rPr>
          <w:t xml:space="preserve">2</w:t>
        </w:r>
      </w:hyperlink>
    </w:p>
    <w:p>
      <w:pPr>
        <w:numPr>
          <w:ilvl w:val="0"/>
          <w:numId w:val="1009"/>
        </w:numPr>
      </w:pPr>
      <w:bookmarkStart w:id="145" w:name="user-content-fn-13"/>
      <w:r>
        <w:rPr>
          <w:lang w:val="en"/>
        </w:rPr>
        <w:t xml:space="preserve">¶8</w:t>
      </w:r>
      <w:r>
        <w:rPr>
          <w:lang w:val="en"/>
        </w:rPr>
        <w:t xml:space="preserve"> </w:t>
      </w:r>
      <w:bookmarkEnd w:id="145"/>
    </w:p>
    <w:p>
      <w:pPr>
        <w:numPr>
          <w:ilvl w:val="0"/>
          <w:numId w:val="1000"/>
        </w:numPr>
      </w:pPr>
      <w:r>
        <w:rPr>
          <w:lang w:val="en"/>
        </w:rPr>
        <w:t xml:space="preserve">Ocean Biodiversity Information System (2024).</w:t>
      </w:r>
      <w:r>
        <w:rPr>
          <w:lang w:val="en"/>
        </w:rPr>
        <w:t xml:space="preserve"> </w:t>
      </w:r>
      <w:r>
        <w:rPr>
          <w:iCs/>
          <w:i/>
          <w:lang w:val="en"/>
        </w:rPr>
        <w:t xml:space="preserve">OBIS eDNA Guidelines: Mobilising DNA-derived biodiversity data</w:t>
      </w:r>
      <w:r>
        <w:rPr>
          <w:lang w:val="en"/>
        </w:rPr>
        <w:t xml:space="preserve">. OBIS.</w:t>
      </w:r>
      <w:r>
        <w:rPr>
          <w:lang w:val="en"/>
        </w:rPr>
        <w:t xml:space="preserve"> </w:t>
      </w:r>
      <w:hyperlink r:id="rId146">
        <w:r>
          <w:rPr>
            <w:rStyle w:val="Hyperlink"/>
            <w:lang w:val="en"/>
          </w:rPr>
          <w:t xml:space="preserve">https://manual.obis.org/dna_data</w:t>
        </w:r>
      </w:hyperlink>
      <w:r>
        <w:rPr>
          <w:lang w:val="en"/>
        </w:rPr>
        <w:t xml:space="preserve"> </w:t>
      </w:r>
      <w:hyperlink w:anchor="user-content-fnref-13">
        <w:r>
          <w:rPr>
            <w:rStyle w:val="Hyperlink"/>
            <w:lang w:val="en"/>
          </w:rPr>
          <w:t xml:space="preserve">↩</w:t>
        </w:r>
      </w:hyperlink>
    </w:p>
    <w:p>
      <w:pPr>
        <w:numPr>
          <w:ilvl w:val="0"/>
          <w:numId w:val="1009"/>
        </w:numPr>
      </w:pPr>
      <w:bookmarkStart w:id="147" w:name="user-content-fn-14"/>
      <w:r>
        <w:rPr>
          <w:lang w:val="en"/>
        </w:rPr>
        <w:t xml:space="preserve">¶9</w:t>
      </w:r>
      <w:r>
        <w:rPr>
          <w:lang w:val="en"/>
        </w:rPr>
        <w:t xml:space="preserve"> </w:t>
      </w:r>
      <w:bookmarkEnd w:id="147"/>
    </w:p>
    <w:p>
      <w:pPr>
        <w:numPr>
          <w:ilvl w:val="0"/>
          <w:numId w:val="1000"/>
        </w:numPr>
      </w:pPr>
      <w:r>
        <w:rPr>
          <w:lang w:val="en"/>
        </w:rPr>
        <w:t xml:space="preserve">Edgar, G.J. &amp; Stuart-Smith, R.D. (2014). Systematic global assessment of reef fish communities by the Reef Life Survey program.</w:t>
      </w:r>
      <w:r>
        <w:rPr>
          <w:lang w:val="en"/>
        </w:rPr>
        <w:t xml:space="preserve"> </w:t>
      </w:r>
      <w:r>
        <w:rPr>
          <w:iCs/>
          <w:i/>
          <w:lang w:val="en"/>
        </w:rPr>
        <w:t xml:space="preserve">Scientific Data</w:t>
      </w:r>
      <w:r>
        <w:rPr>
          <w:lang w:val="en"/>
        </w:rPr>
        <w:t xml:space="preserve">, 1, 140007.</w:t>
      </w:r>
      <w:r>
        <w:rPr>
          <w:lang w:val="en"/>
        </w:rPr>
        <w:t xml:space="preserve"> </w:t>
      </w:r>
      <w:hyperlink w:anchor="user-content-fnref-14">
        <w:r>
          <w:rPr>
            <w:rStyle w:val="Hyperlink"/>
            <w:lang w:val="en"/>
          </w:rPr>
          <w:t xml:space="preserve">↩</w:t>
        </w:r>
      </w:hyperlink>
      <w:r>
        <w:rPr>
          <w:lang w:val="en"/>
        </w:rPr>
        <w:t xml:space="preserve"> </w:t>
      </w:r>
      <w:hyperlink w:anchor="user-content-fnref-14-2">
        <w:r>
          <w:rPr>
            <w:rStyle w:val="Hyperlink"/>
            <w:lang w:val="en"/>
          </w:rPr>
          <w:t xml:space="preserve">↩</w:t>
        </w:r>
        <w:r>
          <w:rPr>
            <w:rStyle w:val="Hyperlink"/>
            <w:vertAlign w:val="superscript"/>
            <w:lang w:val="en"/>
          </w:rPr>
          <w:t xml:space="preserve">2</w:t>
        </w:r>
      </w:hyperlink>
    </w:p>
    <w:p>
      <w:pPr>
        <w:numPr>
          <w:ilvl w:val="0"/>
          <w:numId w:val="1009"/>
        </w:numPr>
      </w:pPr>
      <w:bookmarkStart w:id="148" w:name="user-content-fn-15"/>
      <w:r>
        <w:rPr>
          <w:lang w:val="en"/>
        </w:rPr>
        <w:t xml:space="preserve">¶10</w:t>
      </w:r>
      <w:r>
        <w:rPr>
          <w:lang w:val="en"/>
        </w:rPr>
        <w:t xml:space="preserve"> </w:t>
      </w:r>
      <w:bookmarkEnd w:id="148"/>
    </w:p>
    <w:p>
      <w:pPr>
        <w:numPr>
          <w:ilvl w:val="0"/>
          <w:numId w:val="1000"/>
        </w:numPr>
      </w:pPr>
      <w:r>
        <w:rPr>
          <w:lang w:val="en"/>
        </w:rPr>
        <w:t xml:space="preserve">Australian Institute of Marine Science (ongoing).</w:t>
      </w:r>
      <w:r>
        <w:rPr>
          <w:lang w:val="en"/>
        </w:rPr>
        <w:t xml:space="preserve"> </w:t>
      </w:r>
      <w:r>
        <w:rPr>
          <w:iCs/>
          <w:i/>
          <w:lang w:val="en"/>
        </w:rPr>
        <w:t xml:space="preserve">Long-Term Monitoring Program: Standard Operational Procedures for Reef Surveys</w:t>
      </w:r>
      <w:r>
        <w:rPr>
          <w:lang w:val="en"/>
        </w:rPr>
        <w:t xml:space="preserve">. AIMS, Townsville.</w:t>
      </w:r>
      <w:r>
        <w:rPr>
          <w:lang w:val="en"/>
        </w:rPr>
        <w:t xml:space="preserve"> </w:t>
      </w:r>
      <w:hyperlink r:id="rId149">
        <w:r>
          <w:rPr>
            <w:rStyle w:val="Hyperlink"/>
            <w:lang w:val="en"/>
          </w:rPr>
          <w:t xml:space="preserve">https://www.aims.gov.au/research-topics/monitoring-and-discovery/monitoring-great-barrier-reef/long-term-monitoring-program</w:t>
        </w:r>
      </w:hyperlink>
      <w:r>
        <w:rPr>
          <w:lang w:val="en"/>
        </w:rPr>
        <w:t xml:space="preserve"> </w:t>
      </w:r>
      <w:hyperlink w:anchor="user-content-fnref-15">
        <w:r>
          <w:rPr>
            <w:rStyle w:val="Hyperlink"/>
            <w:lang w:val="en"/>
          </w:rPr>
          <w:t xml:space="preserve">↩</w:t>
        </w:r>
      </w:hyperlink>
    </w:p>
    <w:p>
      <w:pPr>
        <w:numPr>
          <w:ilvl w:val="0"/>
          <w:numId w:val="1009"/>
        </w:numPr>
      </w:pPr>
      <w:bookmarkStart w:id="150" w:name="user-content-fn-16"/>
      <w:r>
        <w:rPr>
          <w:lang w:val="en"/>
        </w:rPr>
        <w:t xml:space="preserve">¶11</w:t>
      </w:r>
      <w:r>
        <w:rPr>
          <w:lang w:val="en"/>
        </w:rPr>
        <w:t xml:space="preserve"> </w:t>
      </w:r>
      <w:bookmarkEnd w:id="150"/>
    </w:p>
    <w:p>
      <w:pPr>
        <w:numPr>
          <w:ilvl w:val="0"/>
          <w:numId w:val="1000"/>
        </w:numPr>
      </w:pPr>
      <w:r>
        <w:rPr>
          <w:lang w:val="en"/>
        </w:rPr>
        <w:t xml:space="preserve">Hodgson, G. et al. (2006).</w:t>
      </w:r>
      <w:r>
        <w:rPr>
          <w:lang w:val="en"/>
        </w:rPr>
        <w:t xml:space="preserve"> </w:t>
      </w:r>
      <w:r>
        <w:rPr>
          <w:iCs/>
          <w:i/>
          <w:lang w:val="en"/>
        </w:rPr>
        <w:t xml:space="preserve">Reef Check Instruction Manual: A Guide to Reef Check Coral Reef Monitoring</w:t>
      </w:r>
      <w:r>
        <w:rPr>
          <w:lang w:val="en"/>
        </w:rPr>
        <w:t xml:space="preserve">. Reef Check Foundation, Pacific Palisades, CA.</w:t>
      </w:r>
      <w:r>
        <w:rPr>
          <w:lang w:val="en"/>
        </w:rPr>
        <w:t xml:space="preserve"> </w:t>
      </w:r>
      <w:hyperlink w:anchor="user-content-fnref-16">
        <w:r>
          <w:rPr>
            <w:rStyle w:val="Hyperlink"/>
            <w:lang w:val="en"/>
          </w:rPr>
          <w:t xml:space="preserve">↩</w:t>
        </w:r>
      </w:hyperlink>
    </w:p>
    <w:p>
      <w:pPr>
        <w:numPr>
          <w:ilvl w:val="0"/>
          <w:numId w:val="1009"/>
        </w:numPr>
      </w:pPr>
      <w:bookmarkStart w:id="151" w:name="user-content-fn-17"/>
      <w:r>
        <w:rPr>
          <w:lang w:val="en"/>
        </w:rPr>
        <w:t xml:space="preserve">¶12</w:t>
      </w:r>
      <w:r>
        <w:rPr>
          <w:lang w:val="en"/>
        </w:rPr>
        <w:t xml:space="preserve"> </w:t>
      </w:r>
      <w:bookmarkEnd w:id="151"/>
    </w:p>
    <w:p>
      <w:pPr>
        <w:numPr>
          <w:ilvl w:val="0"/>
          <w:numId w:val="1000"/>
        </w:numPr>
      </w:pPr>
      <w:r>
        <w:rPr>
          <w:lang w:val="en"/>
        </w:rPr>
        <w:t xml:space="preserve">Kauffman, J.B. &amp; Donato, D.C. (2012).</w:t>
      </w:r>
      <w:r>
        <w:rPr>
          <w:lang w:val="en"/>
        </w:rPr>
        <w:t xml:space="preserve"> </w:t>
      </w:r>
      <w:r>
        <w:rPr>
          <w:iCs/>
          <w:i/>
          <w:lang w:val="en"/>
        </w:rPr>
        <w:t xml:space="preserve">Protocols for the measurement, monitoring and reporting of structure, biomass and carbon stocks in mangrove forests</w:t>
      </w:r>
      <w:r>
        <w:rPr>
          <w:lang w:val="en"/>
        </w:rPr>
        <w:t xml:space="preserve">. CIFOR Working Paper 86. Center for International Forestry Research, Bogor.</w:t>
      </w:r>
      <w:r>
        <w:rPr>
          <w:lang w:val="en"/>
        </w:rPr>
        <w:t xml:space="preserve"> </w:t>
      </w:r>
      <w:hyperlink w:anchor="user-content-fnref-17">
        <w:r>
          <w:rPr>
            <w:rStyle w:val="Hyperlink"/>
            <w:lang w:val="en"/>
          </w:rPr>
          <w:t xml:space="preserve">↩</w:t>
        </w:r>
      </w:hyperlink>
    </w:p>
    <w:p>
      <w:pPr>
        <w:numPr>
          <w:ilvl w:val="0"/>
          <w:numId w:val="1009"/>
        </w:numPr>
      </w:pPr>
      <w:bookmarkStart w:id="152" w:name="user-content-fn-18"/>
      <w:r>
        <w:rPr>
          <w:lang w:val="en"/>
        </w:rPr>
        <w:t xml:space="preserve">¶13</w:t>
      </w:r>
      <w:r>
        <w:rPr>
          <w:lang w:val="en"/>
        </w:rPr>
        <w:t xml:space="preserve"> </w:t>
      </w:r>
      <w:bookmarkEnd w:id="152"/>
    </w:p>
    <w:p>
      <w:pPr>
        <w:numPr>
          <w:ilvl w:val="0"/>
          <w:numId w:val="1000"/>
        </w:numPr>
      </w:pPr>
      <w:r>
        <w:rPr>
          <w:lang w:val="en"/>
        </w:rPr>
        <w:t xml:space="preserve">International Organization for Standardization (2014).</w:t>
      </w:r>
      <w:r>
        <w:rPr>
          <w:lang w:val="en"/>
        </w:rPr>
        <w:t xml:space="preserve"> </w:t>
      </w:r>
      <w:r>
        <w:rPr>
          <w:iCs/>
          <w:i/>
          <w:lang w:val="en"/>
        </w:rPr>
        <w:t xml:space="preserve">ISO 16665:2014 — Water quality — Guidelines for quantitative sampling and sample processing of marine soft-bottom macrofauna</w:t>
      </w:r>
      <w:r>
        <w:rPr>
          <w:lang w:val="en"/>
        </w:rPr>
        <w:t xml:space="preserve">. ISO, Geneva.</w:t>
      </w:r>
      <w:r>
        <w:rPr>
          <w:lang w:val="en"/>
        </w:rPr>
        <w:t xml:space="preserve"> </w:t>
      </w:r>
      <w:hyperlink w:anchor="user-content-fnref-18">
        <w:r>
          <w:rPr>
            <w:rStyle w:val="Hyperlink"/>
            <w:lang w:val="en"/>
          </w:rPr>
          <w:t xml:space="preserve">↩</w:t>
        </w:r>
      </w:hyperlink>
    </w:p>
    <w:p>
      <w:pPr>
        <w:numPr>
          <w:ilvl w:val="0"/>
          <w:numId w:val="1009"/>
        </w:numPr>
      </w:pPr>
      <w:bookmarkStart w:id="153" w:name="user-content-fn-20"/>
      <w:r>
        <w:rPr>
          <w:lang w:val="en"/>
        </w:rPr>
        <w:t xml:space="preserve">¶14</w:t>
      </w:r>
      <w:r>
        <w:rPr>
          <w:lang w:val="en"/>
        </w:rPr>
        <w:t xml:space="preserve"> </w:t>
      </w:r>
      <w:bookmarkEnd w:id="153"/>
    </w:p>
    <w:p>
      <w:pPr>
        <w:numPr>
          <w:ilvl w:val="0"/>
          <w:numId w:val="1000"/>
        </w:numPr>
      </w:pPr>
      <w:r>
        <w:rPr>
          <w:lang w:val="en"/>
        </w:rPr>
        <w:t xml:space="preserve">Key institutional data sources include OBIS (Ocean Biodiversity Information System,</w:t>
      </w:r>
      <w:r>
        <w:rPr>
          <w:lang w:val="en"/>
        </w:rPr>
        <w:t xml:space="preserve"> </w:t>
      </w:r>
      <w:hyperlink r:id="rId154">
        <w:r>
          <w:rPr>
            <w:rStyle w:val="Hyperlink"/>
            <w:lang w:val="en"/>
          </w:rPr>
          <w:t xml:space="preserve">https://obis.org/</w:t>
        </w:r>
      </w:hyperlink>
      <w:r>
        <w:rPr>
          <w:lang w:val="en"/>
        </w:rPr>
        <w:t xml:space="preserve">), GBIF (Global Biodiversity Information Facility,</w:t>
      </w:r>
      <w:r>
        <w:rPr>
          <w:lang w:val="en"/>
        </w:rPr>
        <w:t xml:space="preserve"> </w:t>
      </w:r>
      <w:hyperlink r:id="rId155">
        <w:r>
          <w:rPr>
            <w:rStyle w:val="Hyperlink"/>
            <w:lang w:val="en"/>
          </w:rPr>
          <w:t xml:space="preserve">https://www.gbif.org/</w:t>
        </w:r>
      </w:hyperlink>
      <w:r>
        <w:rPr>
          <w:lang w:val="en"/>
        </w:rPr>
        <w:t xml:space="preserve">), IUCN Red List (</w:t>
      </w:r>
      <w:hyperlink r:id="rId156">
        <w:r>
          <w:rPr>
            <w:rStyle w:val="Hyperlink"/>
            <w:lang w:val="en"/>
          </w:rPr>
          <w:t xml:space="preserve">https://www.iucnredlist.org/</w:t>
        </w:r>
      </w:hyperlink>
      <w:r>
        <w:rPr>
          <w:lang w:val="en"/>
        </w:rPr>
        <w:t xml:space="preserve">), Reef Life Survey, RAM Legacy Stock Assessment Database (v4.65,</w:t>
      </w:r>
      <w:r>
        <w:rPr>
          <w:lang w:val="en"/>
        </w:rPr>
        <w:t xml:space="preserve"> </w:t>
      </w:r>
      <w:hyperlink r:id="rId157">
        <w:r>
          <w:rPr>
            <w:rStyle w:val="Hyperlink"/>
            <w:lang w:val="en"/>
          </w:rPr>
          <w:t xml:space="preserve">https://www.ramlegacy.org/</w:t>
        </w:r>
      </w:hyperlink>
      <w:r>
        <w:rPr>
          <w:lang w:val="en"/>
        </w:rPr>
        <w:t xml:space="preserve">), GCRMN (Global Coral Reef Monitoring Network, methods manual 2021 ed.), SeagrassNet, and NOAA Coral Reef Watch (v3.1 Daily 5km,</w:t>
      </w:r>
      <w:r>
        <w:rPr>
          <w:lang w:val="en"/>
        </w:rPr>
        <w:t xml:space="preserve"> </w:t>
      </w:r>
      <w:hyperlink r:id="rId158">
        <w:r>
          <w:rPr>
            <w:rStyle w:val="Hyperlink"/>
            <w:lang w:val="en"/>
          </w:rPr>
          <w:t xml:space="preserve">https://coralreefwatch.noaa.gov/</w:t>
        </w:r>
      </w:hyperlink>
      <w:r>
        <w:rPr>
          <w:lang w:val="en"/>
        </w:rPr>
        <w:t xml:space="preserve">) — see</w:t>
      </w:r>
      <w:r>
        <w:rPr>
          <w:lang w:val="en"/>
        </w:rPr>
        <w:t xml:space="preserve"> </w:t>
      </w:r>
      <w:hyperlink r:id="rId109">
        <w:r>
          <w:rPr>
            <w:rStyle w:val="Hyperlink"/>
            <w:lang w:val="en"/>
          </w:rPr>
          <w:t xml:space="preserve">TG-4.6</w:t>
        </w:r>
      </w:hyperlink>
      <w:r>
        <w:rPr>
          <w:lang w:val="en"/>
        </w:rPr>
        <w:t xml:space="preserve"> </w:t>
      </w:r>
      <w:r>
        <w:rPr>
          <w:lang w:val="en"/>
        </w:rPr>
        <w:t xml:space="preserve">for full treatment.</w:t>
      </w:r>
      <w:r>
        <w:rPr>
          <w:lang w:val="en"/>
        </w:rPr>
        <w:t xml:space="preserve"> </w:t>
      </w:r>
      <w:hyperlink w:anchor="user-content-fnref-20">
        <w:r>
          <w:rPr>
            <w:rStyle w:val="Hyperlink"/>
            <w:lang w:val="en"/>
          </w:rPr>
          <w:t xml:space="preserve">↩</w:t>
        </w:r>
      </w:hyperlink>
    </w:p>
    <w:bookmarkStart w:id="159" w:name="tg-peek-card"/>
    <w:bookmarkEnd w:id="15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0" Target="media/rId30.svgz" /><Relationship Type="http://schemas.openxmlformats.org/officeDocument/2006/relationships/image" Id="rId116" Target="media/rId116.svgz" /><Relationship Type="http://schemas.openxmlformats.org/officeDocument/2006/relationships/image" Id="rId119" Target="media/rId119.svgz" /><Relationship Type="http://schemas.openxmlformats.org/officeDocument/2006/relationships/image" Id="rId35" Target="media/rId35.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158" Target="https://coralreefwatch.noaa.gov/" TargetMode="External" /><Relationship Type="http://schemas.openxmlformats.org/officeDocument/2006/relationships/hyperlink" Id="rId27" Target="https://creativecommons.org/licenses/by-nc/4.0/" TargetMode="External" /><Relationship Type="http://schemas.openxmlformats.org/officeDocument/2006/relationships/hyperlink" Id="rId42" Target="https://guidance.oceanaccounts.org/circulars/section-0/0-1-general-introduction" TargetMode="External" /><Relationship Type="http://schemas.openxmlformats.org/officeDocument/2006/relationships/hyperlink" Id="rId43" Target="https://guidance.oceanaccounts.org/circulars/section-0/0-7-quality-assurance" TargetMode="External" /><Relationship Type="http://schemas.openxmlformats.org/officeDocument/2006/relationships/hyperlink" Id="rId33" Target="https://guidance.oceanaccounts.org/circulars/section-2/2-1-biophysical-indicators" TargetMode="External" /><Relationship Type="http://schemas.openxmlformats.org/officeDocument/2006/relationships/hyperlink" Id="rId34" Target="https://guidance.oceanaccounts.org/circulars/section-3/3-1-assets" TargetMode="External" /><Relationship Type="http://schemas.openxmlformats.org/officeDocument/2006/relationships/hyperlink" Id="rId87" Target="https://guidance.oceanaccounts.org/circulars/section-4/4-1-remote-sensing" TargetMode="External" /><Relationship Type="http://schemas.openxmlformats.org/officeDocument/2006/relationships/hyperlink" Id="rId29" Target="https://guidance.oceanaccounts.org/circulars/section-4/4-4-citizen-science" TargetMode="External" /><Relationship Type="http://schemas.openxmlformats.org/officeDocument/2006/relationships/hyperlink" Id="rId109" Target="https://guidance.oceanaccounts.org/circulars/section-4/4-6-data-harmonisation" TargetMode="External" /><Relationship Type="http://schemas.openxmlformats.org/officeDocument/2006/relationships/hyperlink" Id="rId28" Target="https://guidance.oceanaccounts.org/circulars/section-4/4-8-physical-condition-measurement" TargetMode="External" /><Relationship Type="http://schemas.openxmlformats.org/officeDocument/2006/relationships/hyperlink" Id="rId71" Target="https://guidance.oceanaccounts.org/circulars/section-6/6-5-pelagic-open-ocean" TargetMode="External" /><Relationship Type="http://schemas.openxmlformats.org/officeDocument/2006/relationships/hyperlink" Id="rId146" Target="https://manual.obis.org/dna_data" TargetMode="External" /><Relationship Type="http://schemas.openxmlformats.org/officeDocument/2006/relationships/hyperlink" Id="rId154" Target="https://obis.org/" TargetMode="External" /><Relationship Type="http://schemas.openxmlformats.org/officeDocument/2006/relationships/hyperlink" Id="rId149" Target="https://www.aims.gov.au/research-topics/monitoring-and-discovery/monitoring-great-barrier-reef/long-term-monitoring-program" TargetMode="External" /><Relationship Type="http://schemas.openxmlformats.org/officeDocument/2006/relationships/hyperlink" Id="rId155" Target="https://www.gbif.org/" TargetMode="External" /><Relationship Type="http://schemas.openxmlformats.org/officeDocument/2006/relationships/hyperlink" Id="rId156" Target="https://www.iucnredlist.org/" TargetMode="External" /><Relationship Type="http://schemas.openxmlformats.org/officeDocument/2006/relationships/hyperlink" Id="rId157" Target="https://www.ramlegacy.org/" TargetMode="External" /></Relationships>
</file>

<file path=word/_rels/footnotes.xml.rels><?xml version="1.0" encoding="UTF-8"?><Relationships xmlns="http://schemas.openxmlformats.org/package/2006/relationships"><Relationship Type="http://schemas.openxmlformats.org/officeDocument/2006/relationships/hyperlink" Id="rId158" Target="https://coralreefwatch.noaa.gov/" TargetMode="External" /><Relationship Type="http://schemas.openxmlformats.org/officeDocument/2006/relationships/hyperlink" Id="rId27" Target="https://creativecommons.org/licenses/by-nc/4.0/" TargetMode="External" /><Relationship Type="http://schemas.openxmlformats.org/officeDocument/2006/relationships/hyperlink" Id="rId42" Target="https://guidance.oceanaccounts.org/circulars/section-0/0-1-general-introduction" TargetMode="External" /><Relationship Type="http://schemas.openxmlformats.org/officeDocument/2006/relationships/hyperlink" Id="rId43" Target="https://guidance.oceanaccounts.org/circulars/section-0/0-7-quality-assurance" TargetMode="External" /><Relationship Type="http://schemas.openxmlformats.org/officeDocument/2006/relationships/hyperlink" Id="rId33" Target="https://guidance.oceanaccounts.org/circulars/section-2/2-1-biophysical-indicators" TargetMode="External" /><Relationship Type="http://schemas.openxmlformats.org/officeDocument/2006/relationships/hyperlink" Id="rId34" Target="https://guidance.oceanaccounts.org/circulars/section-3/3-1-assets" TargetMode="External" /><Relationship Type="http://schemas.openxmlformats.org/officeDocument/2006/relationships/hyperlink" Id="rId87" Target="https://guidance.oceanaccounts.org/circulars/section-4/4-1-remote-sensing" TargetMode="External" /><Relationship Type="http://schemas.openxmlformats.org/officeDocument/2006/relationships/hyperlink" Id="rId29" Target="https://guidance.oceanaccounts.org/circulars/section-4/4-4-citizen-science" TargetMode="External" /><Relationship Type="http://schemas.openxmlformats.org/officeDocument/2006/relationships/hyperlink" Id="rId109" Target="https://guidance.oceanaccounts.org/circulars/section-4/4-6-data-harmonisation" TargetMode="External" /><Relationship Type="http://schemas.openxmlformats.org/officeDocument/2006/relationships/hyperlink" Id="rId28" Target="https://guidance.oceanaccounts.org/circulars/section-4/4-8-physical-condition-measurement" TargetMode="External" /><Relationship Type="http://schemas.openxmlformats.org/officeDocument/2006/relationships/hyperlink" Id="rId71" Target="https://guidance.oceanaccounts.org/circulars/section-6/6-5-pelagic-open-ocean" TargetMode="External" /><Relationship Type="http://schemas.openxmlformats.org/officeDocument/2006/relationships/hyperlink" Id="rId146" Target="https://manual.obis.org/dna_data" TargetMode="External" /><Relationship Type="http://schemas.openxmlformats.org/officeDocument/2006/relationships/hyperlink" Id="rId154" Target="https://obis.org/" TargetMode="External" /><Relationship Type="http://schemas.openxmlformats.org/officeDocument/2006/relationships/hyperlink" Id="rId149" Target="https://www.aims.gov.au/research-topics/monitoring-and-discovery/monitoring-great-barrier-reef/long-term-monitoring-program" TargetMode="External" /><Relationship Type="http://schemas.openxmlformats.org/officeDocument/2006/relationships/hyperlink" Id="rId155" Target="https://www.gbif.org/" TargetMode="External" /><Relationship Type="http://schemas.openxmlformats.org/officeDocument/2006/relationships/hyperlink" Id="rId156" Target="https://www.iucnredlist.org/" TargetMode="External" /><Relationship Type="http://schemas.openxmlformats.org/officeDocument/2006/relationships/hyperlink" Id="rId157" Target="https://www.ramlegac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Condition Measurement | Global Ocean Accounts Partnership</dc:title>
  <dc:creator/>
  <dc:description>Translates biotic field measurements and remote-sensing products into SEEA EA ecosystem condition indicators (ECT Classes B1–B3 and C1).</dc:description>
  <dc:language>en</dc:language>
  <cp:keywords/>
  <dcterms:created xsi:type="dcterms:W3CDTF">2026-10-23T04:12:48Z</dcterms:created>
  <dcterms:modified xsi:type="dcterms:W3CDTF">2026-10-23T04:12:48Z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https://guidance.oceanaccounts.org/circulars/section-4/4-9-biological-condition-measurement/</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Biological Condition Measurement</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Biological Condition Measurement</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