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7.svgz" ContentType="image/svg+xml;base64"/>
  <Override PartName="/word/media/rId62.svgz" ContentType="image/svg+xml;base64"/>
  <Override PartName="/word/media/rId84.svgz" ContentType="image/svg+xml;base64"/>
  <Override PartName="/word/media/rId96.svgz" ContentType="image/svg+xml;base64"/>
  <Override PartName="/word/media/rId87.svgz" ContentType="image/svg+xml;base64"/>
  <Override PartName="/word/media/rId102.svgz" ContentType="image/svg+xml;base64"/>
  <Override PartName="/word/media/rId65.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Quality Assurance and Quality Control of Ocean Asset Accounts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TG-3.16 Section 3: Compiling Ocean Accounts from Relevant Data Applied Draft TG-3.16 Applied Draft Section 3 Section 3: Compiling Ocean Accounts from Relevant Data quality control quality assurance verification accounting identity reconciliation quality flags uncertainty revisions evidence pack asset accounts SEEA SEEA EA blue carbon mangrove mangroves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TG-3.16</w:t>
            </w:r>
          </w:p>
        </w:tc>
      </w:tr>
      <w:tr>
        <w:tc>
          <w:tcPr/>
          <w:p>
            <w:pPr>
              <w:pStyle w:val="Compact"/>
              <w:jc w:val="left"/>
            </w:pPr>
            <w:r>
              <w:rPr>
                <w:bCs/>
                <w:b/>
                <w:lang w:val="en"/>
              </w:rPr>
              <w:t xml:space="preserve">Version</w:t>
            </w:r>
          </w:p>
        </w:tc>
        <w:tc>
          <w:tcPr/>
          <w:p>
            <w:pPr>
              <w:pStyle w:val="Compact"/>
              <w:jc w:val="left"/>
            </w:pPr>
            <w:r>
              <w:rPr>
                <w:lang w:val="en"/>
              </w:rPr>
              <w:t xml:space="preserve">0.3.0</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TG-3.16 · Section 3: Compiling Ocean Accounts from Relevant Data · 1 September 2026</w:t>
      </w:r>
    </w:p>
    <w:bookmarkStart w:id="26" w:name="X253a635f7ef869383a8acbc73e66929f98cc697"/>
    <w:p>
      <w:pPr>
        <w:pStyle w:val="Heading1"/>
      </w:pPr>
      <w:r>
        <w:rPr>
          <w:lang w:val="en"/>
        </w:rPr>
        <w:t xml:space="preserve">Quality Assurance and Quality Control of Ocean Asset Accounts</w:t>
      </w:r>
    </w:p>
    <w:p>
      <w:pPr>
        <w:pStyle w:val="FirstParagraph"/>
      </w:pPr>
      <w:r>
        <w:rPr>
          <w:lang w:val="en"/>
        </w:rPr>
        <w:t xml:space="preserve">Sets out the checks, records and independent review that show an ocean asset account — physical or monetary, individual resource or ecosystem — is complete, balanced and fit to publish.</w:t>
      </w:r>
    </w:p>
    <w:p>
      <w:pPr>
        <w:pStyle w:val="DefinitionTerm"/>
      </w:pPr>
      <w:r>
        <w:rPr>
          <w:lang w:val="en"/>
        </w:rPr>
        <w:t xml:space="preserve">Version</w:t>
      </w:r>
    </w:p>
    <w:p>
      <w:pPr>
        <w:pStyle w:val="Definition"/>
      </w:pPr>
      <w:r>
        <w:rPr>
          <w:lang w:val="en"/>
        </w:rPr>
        <w:t xml:space="preserve">0.3.0</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fc1a7b16adf65cb9b35bf23e5a8c999e33f0dba">
        <w:r>
          <w:rPr>
            <w:rStyle w:val="Hyperlink"/>
            <w:lang w:val="en"/>
          </w:rPr>
          <w:t xml:space="preserve">3.1 Concepts, Scope and Layers</w:t>
        </w:r>
      </w:hyperlink>
    </w:p>
    <w:p>
      <w:pPr>
        <w:numPr>
          <w:ilvl w:val="1"/>
          <w:numId w:val="1002"/>
        </w:numPr>
        <w:pStyle w:val="Compact"/>
      </w:pPr>
      <w:hyperlink w:anchor="X9fc7e92b158be7a6f9a652e789a2cd86705902d">
        <w:r>
          <w:rPr>
            <w:rStyle w:val="Hyperlink"/>
            <w:lang w:val="en"/>
          </w:rPr>
          <w:t xml:space="preserve">3.2 QA/QC Plan and Data-Quality Objectives</w:t>
        </w:r>
      </w:hyperlink>
    </w:p>
    <w:p>
      <w:pPr>
        <w:numPr>
          <w:ilvl w:val="1"/>
          <w:numId w:val="1002"/>
        </w:numPr>
        <w:pStyle w:val="Compact"/>
      </w:pPr>
      <w:hyperlink w:anchor="X455fe4d63272dd3f0b10d3981ae80d58d99b02c">
        <w:r>
          <w:rPr>
            <w:rStyle w:val="Hyperlink"/>
            <w:lang w:val="en"/>
          </w:rPr>
          <w:t xml:space="preserve">3.3 Methodological Issues</w:t>
        </w:r>
      </w:hyperlink>
    </w:p>
    <w:p>
      <w:pPr>
        <w:numPr>
          <w:ilvl w:val="1"/>
          <w:numId w:val="1002"/>
        </w:numPr>
        <w:pStyle w:val="Compact"/>
      </w:pPr>
      <w:hyperlink w:anchor="X0263dd8e586ad267a884d14c03429292d963bdc">
        <w:r>
          <w:rPr>
            <w:rStyle w:val="Hyperlink"/>
            <w:lang w:val="en"/>
          </w:rPr>
          <w:t xml:space="preserve">3.4 General QC Checks</w:t>
        </w:r>
      </w:hyperlink>
    </w:p>
    <w:p>
      <w:pPr>
        <w:numPr>
          <w:ilvl w:val="1"/>
          <w:numId w:val="1002"/>
        </w:numPr>
        <w:pStyle w:val="Compact"/>
      </w:pPr>
      <w:hyperlink w:anchor="X4236c6d5bc15613d5e84dc004b2dd6cdf6747dd">
        <w:r>
          <w:rPr>
            <w:rStyle w:val="Hyperlink"/>
            <w:lang w:val="en"/>
          </w:rPr>
          <w:t xml:space="preserve">3.5 Asset-Type Acceptance Checks</w:t>
        </w:r>
      </w:hyperlink>
    </w:p>
    <w:p>
      <w:pPr>
        <w:numPr>
          <w:ilvl w:val="1"/>
          <w:numId w:val="1002"/>
        </w:numPr>
        <w:pStyle w:val="Compact"/>
      </w:pPr>
      <w:hyperlink w:anchor="Xb295ffc0500a6de349a7f6b083393e1709fe558">
        <w:r>
          <w:rPr>
            <w:rStyle w:val="Hyperlink"/>
            <w:lang w:val="en"/>
          </w:rPr>
          <w:t xml:space="preserve">3.6 Reconciliation and Verification</w:t>
        </w:r>
      </w:hyperlink>
    </w:p>
    <w:p>
      <w:pPr>
        <w:numPr>
          <w:ilvl w:val="1"/>
          <w:numId w:val="1002"/>
        </w:numPr>
        <w:pStyle w:val="Compact"/>
      </w:pPr>
      <w:hyperlink w:anchor="X211ab4f7800678b9d45164f8e7600299c3f8d47">
        <w:r>
          <w:rPr>
            <w:rStyle w:val="Hyperlink"/>
            <w:lang w:val="en"/>
          </w:rPr>
          <w:t xml:space="preserve">3.7 Quality Flags for Asset Cells</w:t>
        </w:r>
      </w:hyperlink>
    </w:p>
    <w:p>
      <w:pPr>
        <w:numPr>
          <w:ilvl w:val="1"/>
          <w:numId w:val="1002"/>
        </w:numPr>
        <w:pStyle w:val="Compact"/>
      </w:pPr>
      <w:hyperlink w:anchor="X52491922cf0389bc8709115ad375d43ba941b42">
        <w:r>
          <w:rPr>
            <w:rStyle w:val="Hyperlink"/>
            <w:lang w:val="en"/>
          </w:rPr>
          <w:t xml:space="preserve">3.8 Worked Example: A Coastal Asset Account with Seeded Errors</w:t>
        </w:r>
      </w:hyperlink>
    </w:p>
    <w:p>
      <w:pPr>
        <w:numPr>
          <w:ilvl w:val="1"/>
          <w:numId w:val="1002"/>
        </w:numPr>
        <w:pStyle w:val="Compact"/>
      </w:pPr>
      <w:hyperlink w:anchor="X7bba996b63a5d67786d792c7716ed8b55ab019c">
        <w:r>
          <w:rPr>
            <w:rStyle w:val="Hyperlink"/>
            <w:lang w:val="en"/>
          </w:rPr>
          <w:t xml:space="preserve">3.9 Uncertainty Assessment</w:t>
        </w:r>
      </w:hyperlink>
    </w:p>
    <w:p>
      <w:pPr>
        <w:numPr>
          <w:ilvl w:val="1"/>
          <w:numId w:val="1002"/>
        </w:numPr>
        <w:pStyle w:val="Compact"/>
      </w:pPr>
      <w:hyperlink w:anchor="X57cc0df173ad7f347ea63bcaf7bedfb91a2d630">
        <w:r>
          <w:rPr>
            <w:rStyle w:val="Hyperlink"/>
            <w:lang w:val="en"/>
          </w:rPr>
          <w:t xml:space="preserve">3.10 Review, Documentation and Release</w:t>
        </w:r>
      </w:hyperlink>
    </w:p>
    <w:p>
      <w:pPr>
        <w:numPr>
          <w:ilvl w:val="1"/>
          <w:numId w:val="1002"/>
        </w:numPr>
        <w:pStyle w:val="Compact"/>
      </w:pPr>
      <w:hyperlink w:anchor="X5ab4ac6bcdca0cd5aa0d606581c143889259481">
        <w:r>
          <w:rPr>
            <w:rStyle w:val="Hyperlink"/>
            <w:lang w:val="en"/>
          </w:rPr>
          <w:t xml:space="preserve">3.11 Limitations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Quality Assurance and Quality Control of Ocean Asset Accounts (2026) (GOAP Technical Guidance on Ocean Accounting, TG-3.16, v0.3.0). GOAP Secretariat. https://guidance.oceanaccounts.org/circulars/section-3/3-16-asset-accounts-qaqc/</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working through this Circular, you will be able to show that an ocean asset account is complete, balanced and fit to publish, and to hand a reviewer the evidence that confirms it. You will be able to:</w:t>
      </w:r>
    </w:p>
    <w:p>
      <w:pPr>
        <w:numPr>
          <w:ilvl w:val="0"/>
          <w:numId w:val="1003"/>
        </w:numPr>
        <w:pStyle w:val="Compact"/>
      </w:pPr>
      <w:r>
        <w:rPr>
          <w:lang w:val="en"/>
        </w:rPr>
        <w:t xml:space="preserve">¶2</w:t>
      </w:r>
      <w:r>
        <w:rPr>
          <w:lang w:val="en"/>
        </w:rPr>
        <w:t xml:space="preserve"> </w:t>
      </w:r>
      <w:r>
        <w:rPr>
          <w:lang w:val="en"/>
        </w:rPr>
        <w:t xml:space="preserve">write a quality assurance and quality control (QA/QC) plan for an asset account: the generic core every account needs, and the asset-account part;</w:t>
      </w:r>
    </w:p>
    <w:p>
      <w:pPr>
        <w:numPr>
          <w:ilvl w:val="0"/>
          <w:numId w:val="1003"/>
        </w:numPr>
        <w:pStyle w:val="Compact"/>
      </w:pPr>
      <w:r>
        <w:rPr>
          <w:lang w:val="en"/>
        </w:rPr>
        <w:t xml:space="preserve">¶3</w:t>
      </w:r>
      <w:r>
        <w:rPr>
          <w:lang w:val="en"/>
        </w:rPr>
        <w:t xml:space="preserve"> </w:t>
      </w:r>
      <w:r>
        <w:rPr>
          <w:lang w:val="en"/>
        </w:rPr>
        <w:t xml:space="preserve">run and log the general checks and the asset-type acceptance checks, physical and monetary;</w:t>
      </w:r>
    </w:p>
    <w:p>
      <w:pPr>
        <w:numPr>
          <w:ilvl w:val="0"/>
          <w:numId w:val="1003"/>
        </w:numPr>
        <w:pStyle w:val="Compact"/>
      </w:pPr>
      <w:r>
        <w:rPr>
          <w:lang w:val="en"/>
        </w:rPr>
        <w:t xml:space="preserve">¶4</w:t>
      </w:r>
      <w:r>
        <w:rPr>
          <w:lang w:val="en"/>
        </w:rPr>
        <w:t xml:space="preserve"> </w:t>
      </w:r>
      <w:r>
        <w:rPr>
          <w:lang w:val="en"/>
        </w:rPr>
        <w:t xml:space="preserve">reconcile the account with the supply and use tables, the production account, government finance statistics, the greenhouse gas inventory and the national balance sheet;</w:t>
      </w:r>
    </w:p>
    <w:p>
      <w:pPr>
        <w:numPr>
          <w:ilvl w:val="0"/>
          <w:numId w:val="1003"/>
        </w:numPr>
        <w:pStyle w:val="Compact"/>
      </w:pPr>
      <w:r>
        <w:rPr>
          <w:lang w:val="en"/>
        </w:rPr>
        <w:t xml:space="preserve">¶5</w:t>
      </w:r>
      <w:r>
        <w:rPr>
          <w:lang w:val="en"/>
        </w:rPr>
        <w:t xml:space="preserve"> </w:t>
      </w:r>
      <w:r>
        <w:rPr>
          <w:lang w:val="en"/>
        </w:rPr>
        <w:t xml:space="preserve">give every cell a grade and a status, and carry them into aggregates;</w:t>
      </w:r>
    </w:p>
    <w:p>
      <w:pPr>
        <w:numPr>
          <w:ilvl w:val="0"/>
          <w:numId w:val="1003"/>
        </w:numPr>
        <w:pStyle w:val="Compact"/>
      </w:pPr>
      <w:r>
        <w:rPr>
          <w:lang w:val="en"/>
        </w:rPr>
        <w:t xml:space="preserve">¶6</w:t>
      </w:r>
      <w:r>
        <w:rPr>
          <w:lang w:val="en"/>
        </w:rPr>
        <w:t xml:space="preserve"> </w:t>
      </w:r>
      <w:r>
        <w:rPr>
          <w:lang w:val="en"/>
        </w:rPr>
        <w:t xml:space="preserve">quantify the uncertainty in asset values and report it as a range;</w:t>
      </w:r>
    </w:p>
    <w:p>
      <w:pPr>
        <w:numPr>
          <w:ilvl w:val="0"/>
          <w:numId w:val="1003"/>
        </w:numPr>
        <w:pStyle w:val="Compact"/>
      </w:pPr>
      <w:r>
        <w:rPr>
          <w:lang w:val="en"/>
        </w:rPr>
        <w:t xml:space="preserve">¶7</w:t>
      </w:r>
      <w:r>
        <w:rPr>
          <w:lang w:val="en"/>
        </w:rPr>
        <w:t xml:space="preserve"> </w:t>
      </w:r>
      <w:r>
        <w:rPr>
          <w:lang w:val="en"/>
        </w:rPr>
        <w:t xml:space="preserve">pass independent review with a complete evidence pack.</w:t>
      </w:r>
    </w:p>
    <w:p>
      <w:pPr>
        <w:pStyle w:val="FirstParagraph"/>
      </w:pPr>
      <w:r>
        <w:rPr>
          <w:lang w:val="en"/>
        </w:rPr>
        <w:t xml:space="preserve">¶8</w:t>
      </w:r>
      <w:r>
        <w:rPr>
          <w:lang w:val="en"/>
        </w:rPr>
        <w:t xml:space="preserve"> </w:t>
      </w:r>
      <w:r>
        <w:rPr>
          <w:lang w:val="en"/>
        </w:rPr>
        <w:t xml:space="preserve">The Circular sets no accounting rule of its own. Every rule it tests is owned by the circular named beside the check, most often</w:t>
      </w:r>
      <w:r>
        <w:rPr>
          <w:lang w:val="en"/>
        </w:rPr>
        <w:t xml:space="preserve"> </w:t>
      </w:r>
      <w:hyperlink r:id="rId32">
        <w:r>
          <w:rPr>
            <w:rStyle w:val="Hyperlink"/>
            <w:bCs/>
            <w:b/>
            <w:lang w:val="en"/>
          </w:rPr>
          <w:t xml:space="preserve">TG-3.1 Asset Accounts</w:t>
        </w:r>
      </w:hyperlink>
      <w:r>
        <w:rPr>
          <w:lang w:val="en"/>
        </w:rPr>
        <w:t xml:space="preserve">; what this Circular adds is the procedure, the tolerance and the record.</w:t>
      </w:r>
    </w:p>
    <w:bookmarkStart w:id="35"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5"/>
    <w:p>
      <w:pPr>
        <w:pStyle w:val="BodyText"/>
      </w:pPr>
      <w:r>
        <w:rPr>
          <w:lang w:val="en"/>
        </w:rPr>
        <w:t xml:space="preserve">¶1</w:t>
      </w:r>
      <w:r>
        <w:rPr>
          <w:lang w:val="en"/>
        </w:rPr>
        <w:t xml:space="preserve"> </w:t>
      </w:r>
      <w:r>
        <w:rPr>
          <w:bCs/>
          <w:b/>
          <w:lang w:val="en"/>
        </w:rPr>
        <w:t xml:space="preserve">Essential prerequisites:</w:t>
      </w:r>
    </w:p>
    <w:p>
      <w:pPr>
        <w:numPr>
          <w:ilvl w:val="0"/>
          <w:numId w:val="1004"/>
        </w:numPr>
        <w:pStyle w:val="Compact"/>
      </w:pPr>
      <w:r>
        <w:rPr>
          <w:lang w:val="en"/>
        </w:rPr>
        <w:t xml:space="preserve">¶2</w:t>
      </w:r>
      <w:r>
        <w:rPr>
          <w:lang w:val="en"/>
        </w:rPr>
        <w:t xml:space="preserve"> </w:t>
      </w:r>
      <w:hyperlink r:id="rId36">
        <w:r>
          <w:rPr>
            <w:rStyle w:val="Hyperlink"/>
            <w:bCs/>
            <w:b/>
            <w:lang w:val="en"/>
          </w:rPr>
          <w:t xml:space="preserve">TG-0.1 General Introduction to Ocean Accounts</w:t>
        </w:r>
      </w:hyperlink>
      <w:r>
        <w:rPr>
          <w:lang w:val="en"/>
        </w:rPr>
        <w:t xml:space="preserve">: conceptual framework and the three-domain structure</w:t>
      </w:r>
    </w:p>
    <w:p>
      <w:pPr>
        <w:numPr>
          <w:ilvl w:val="0"/>
          <w:numId w:val="1004"/>
        </w:numPr>
        <w:pStyle w:val="Compact"/>
      </w:pPr>
      <w:r>
        <w:rPr>
          <w:lang w:val="en"/>
        </w:rPr>
        <w:t xml:space="preserve">¶3</w:t>
      </w:r>
      <w:r>
        <w:rPr>
          <w:lang w:val="en"/>
        </w:rPr>
        <w:t xml:space="preserve"> </w:t>
      </w:r>
      <w:hyperlink r:id="rId37">
        <w:r>
          <w:rPr>
            <w:rStyle w:val="Hyperlink"/>
            <w:bCs/>
            <w:b/>
            <w:lang w:val="en"/>
          </w:rPr>
          <w:t xml:space="preserve">TG-0.7 Quality Assurance Principles</w:t>
        </w:r>
      </w:hyperlink>
      <w:r>
        <w:rPr>
          <w:lang w:val="en"/>
        </w:rPr>
        <w:t xml:space="preserve">: quality dimensions, uncertainty categories, documentation categories and quality flags</w:t>
      </w:r>
    </w:p>
    <w:p>
      <w:pPr>
        <w:numPr>
          <w:ilvl w:val="0"/>
          <w:numId w:val="1004"/>
        </w:numPr>
        <w:pStyle w:val="Compact"/>
      </w:pPr>
      <w:r>
        <w:rPr>
          <w:lang w:val="en"/>
        </w:rPr>
        <w:t xml:space="preserve">¶4</w:t>
      </w:r>
      <w:r>
        <w:rPr>
          <w:lang w:val="en"/>
        </w:rPr>
        <w:t xml:space="preserve"> </w:t>
      </w:r>
      <w:hyperlink r:id="rId32">
        <w:r>
          <w:rPr>
            <w:rStyle w:val="Hyperlink"/>
            <w:bCs/>
            <w:b/>
            <w:lang w:val="en"/>
          </w:rPr>
          <w:t xml:space="preserve">TG-3.1 Asset Accounts</w:t>
        </w:r>
      </w:hyperlink>
      <w:r>
        <w:rPr>
          <w:lang w:val="en"/>
        </w:rPr>
        <w:t xml:space="preserve">: the asset account tables, identities and compilation procedure that the checks test</w:t>
      </w:r>
    </w:p>
    <w:p>
      <w:pPr>
        <w:pStyle w:val="FirstParagraph"/>
      </w:pPr>
      <w:r>
        <w:rPr>
          <w:lang w:val="en"/>
        </w:rPr>
        <w:t xml:space="preserve">¶5</w:t>
      </w:r>
      <w:r>
        <w:rPr>
          <w:lang w:val="en"/>
        </w:rPr>
        <w:t xml:space="preserve"> </w:t>
      </w:r>
      <w:r>
        <w:rPr>
          <w:bCs/>
          <w:b/>
          <w:lang w:val="en"/>
        </w:rPr>
        <w:t xml:space="preserve">Helpful background:</w:t>
      </w:r>
    </w:p>
    <w:p>
      <w:pPr>
        <w:numPr>
          <w:ilvl w:val="0"/>
          <w:numId w:val="1005"/>
        </w:numPr>
        <w:pStyle w:val="Compact"/>
      </w:pPr>
      <w:r>
        <w:rPr>
          <w:lang w:val="en"/>
        </w:rPr>
        <w:t xml:space="preserve">¶6</w:t>
      </w:r>
      <w:r>
        <w:rPr>
          <w:lang w:val="en"/>
        </w:rPr>
        <w:t xml:space="preserve"> </w:t>
      </w:r>
      <w:hyperlink r:id="rId38">
        <w:r>
          <w:rPr>
            <w:rStyle w:val="Hyperlink"/>
            <w:bCs/>
            <w:b/>
            <w:lang w:val="en"/>
          </w:rPr>
          <w:t xml:space="preserve">TG-2.1 Aggregate Biophysical Indicators of Environmental State</w:t>
        </w:r>
      </w:hyperlink>
      <w:r>
        <w:rPr>
          <w:lang w:val="en"/>
        </w:rPr>
        <w:t xml:space="preserve">: condition rescaling and aggregation</w:t>
      </w:r>
    </w:p>
    <w:p>
      <w:pPr>
        <w:numPr>
          <w:ilvl w:val="0"/>
          <w:numId w:val="1005"/>
        </w:numPr>
        <w:pStyle w:val="Compact"/>
      </w:pPr>
      <w:r>
        <w:rPr>
          <w:lang w:val="en"/>
        </w:rPr>
        <w:t xml:space="preserve">¶7</w:t>
      </w:r>
      <w:r>
        <w:rPr>
          <w:lang w:val="en"/>
        </w:rPr>
        <w:t xml:space="preserve"> </w:t>
      </w:r>
      <w:hyperlink r:id="rId39">
        <w:r>
          <w:rPr>
            <w:rStyle w:val="Hyperlink"/>
            <w:bCs/>
            <w:b/>
            <w:lang w:val="en"/>
          </w:rPr>
          <w:t xml:space="preserve">TG-1.9 Safe Usage of Monetary Valuation</w:t>
        </w:r>
      </w:hyperlink>
      <w:r>
        <w:rPr>
          <w:lang w:val="en"/>
        </w:rPr>
        <w:t xml:space="preserve"> </w:t>
      </w:r>
      <w:r>
        <w:rPr>
          <w:lang w:val="en"/>
        </w:rPr>
        <w:t xml:space="preserve">and</w:t>
      </w:r>
      <w:r>
        <w:rPr>
          <w:lang w:val="en"/>
        </w:rPr>
        <w:t xml:space="preserve"> </w:t>
      </w:r>
      <w:hyperlink r:id="rId40">
        <w:r>
          <w:rPr>
            <w:rStyle w:val="Hyperlink"/>
            <w:bCs/>
            <w:b/>
            <w:lang w:val="en"/>
          </w:rPr>
          <w:t xml:space="preserve">TG-2.4 Environmental (including Ecosystem) Goods and Services</w:t>
        </w:r>
      </w:hyperlink>
      <w:r>
        <w:rPr>
          <w:lang w:val="en"/>
        </w:rPr>
        <w:t xml:space="preserve"> </w:t>
      </w:r>
      <w:r>
        <w:rPr>
          <w:lang w:val="en"/>
        </w:rPr>
        <w:t xml:space="preserve">Section 3.10: valuation choices and service-level methods</w:t>
      </w:r>
    </w:p>
    <w:p>
      <w:pPr>
        <w:numPr>
          <w:ilvl w:val="0"/>
          <w:numId w:val="1005"/>
        </w:numPr>
        <w:pStyle w:val="Compact"/>
      </w:pPr>
      <w:r>
        <w:rPr>
          <w:lang w:val="en"/>
        </w:rPr>
        <w:t xml:space="preserve">¶8</w:t>
      </w:r>
      <w:r>
        <w:rPr>
          <w:lang w:val="en"/>
        </w:rPr>
        <w:t xml:space="preserve"> </w:t>
      </w:r>
      <w:hyperlink r:id="rId41">
        <w:r>
          <w:rPr>
            <w:rStyle w:val="Hyperlink"/>
            <w:bCs/>
            <w:b/>
            <w:lang w:val="en"/>
          </w:rPr>
          <w:t xml:space="preserve">TG-4.1 Remote Sensing and Geospatial Data</w:t>
        </w:r>
      </w:hyperlink>
      <w:r>
        <w:rPr>
          <w:lang w:val="en"/>
        </w:rPr>
        <w:t xml:space="preserve"> </w:t>
      </w:r>
      <w:r>
        <w:rPr>
          <w:lang w:val="en"/>
        </w:rPr>
        <w:t xml:space="preserve">and</w:t>
      </w:r>
      <w:r>
        <w:rPr>
          <w:lang w:val="en"/>
        </w:rPr>
        <w:t xml:space="preserve"> </w:t>
      </w:r>
      <w:hyperlink r:id="rId42">
        <w:r>
          <w:rPr>
            <w:rStyle w:val="Hyperlink"/>
            <w:bCs/>
            <w:b/>
            <w:lang w:val="en"/>
          </w:rPr>
          <w:t xml:space="preserve">TG-2.12 Spatial Data Frameworks</w:t>
        </w:r>
      </w:hyperlink>
      <w:r>
        <w:rPr>
          <w:lang w:val="en"/>
        </w:rPr>
        <w:t xml:space="preserve">: extent accuracy and the spatial rules</w:t>
      </w:r>
    </w:p>
    <w:p>
      <w:pPr>
        <w:numPr>
          <w:ilvl w:val="0"/>
          <w:numId w:val="1005"/>
        </w:numPr>
        <w:pStyle w:val="Compact"/>
      </w:pPr>
      <w:r>
        <w:rPr>
          <w:lang w:val="en"/>
        </w:rPr>
        <w:t xml:space="preserve">¶9</w:t>
      </w:r>
      <w:r>
        <w:rPr>
          <w:lang w:val="en"/>
        </w:rPr>
        <w:t xml:space="preserve"> </w:t>
      </w:r>
      <w:hyperlink r:id="rId43">
        <w:r>
          <w:rPr>
            <w:rStyle w:val="Hyperlink"/>
            <w:bCs/>
            <w:b/>
            <w:lang w:val="en"/>
          </w:rPr>
          <w:t xml:space="preserve">TG-4.8 Physical Condition Measurement</w:t>
        </w:r>
      </w:hyperlink>
      <w:r>
        <w:rPr>
          <w:lang w:val="en"/>
        </w:rPr>
        <w:t xml:space="preserve"> </w:t>
      </w:r>
      <w:r>
        <w:rPr>
          <w:lang w:val="en"/>
        </w:rPr>
        <w:t xml:space="preserve">and</w:t>
      </w:r>
      <w:r>
        <w:rPr>
          <w:lang w:val="en"/>
        </w:rPr>
        <w:t xml:space="preserve"> </w:t>
      </w:r>
      <w:hyperlink r:id="rId44">
        <w:r>
          <w:rPr>
            <w:rStyle w:val="Hyperlink"/>
            <w:bCs/>
            <w:b/>
            <w:lang w:val="en"/>
          </w:rPr>
          <w:t xml:space="preserve">TG-4.9 Biological Condition Measurement</w:t>
        </w:r>
      </w:hyperlink>
      <w:r>
        <w:rPr>
          <w:lang w:val="en"/>
        </w:rPr>
        <w:t xml:space="preserve">: condition variables</w:t>
      </w:r>
    </w:p>
    <w:p>
      <w:pPr>
        <w:numPr>
          <w:ilvl w:val="0"/>
          <w:numId w:val="1005"/>
        </w:numPr>
        <w:pStyle w:val="Compact"/>
      </w:pPr>
      <w:r>
        <w:rPr>
          <w:lang w:val="en"/>
        </w:rPr>
        <w:t xml:space="preserve">¶10</w:t>
      </w:r>
      <w:r>
        <w:rPr>
          <w:lang w:val="en"/>
        </w:rPr>
        <w:t xml:space="preserve"> </w:t>
      </w:r>
      <w:hyperlink r:id="rId45">
        <w:r>
          <w:rPr>
            <w:rStyle w:val="Hyperlink"/>
            <w:bCs/>
            <w:b/>
            <w:lang w:val="en"/>
          </w:rPr>
          <w:t xml:space="preserve">TG-6.7 Fisheries Accounting: Integrating Stock Assessment</w:t>
        </w:r>
      </w:hyperlink>
      <w:r>
        <w:rPr>
          <w:lang w:val="en"/>
        </w:rPr>
        <w:t xml:space="preserve">: the stock assessment behind the fish account</w:t>
      </w:r>
    </w:p>
    <w:p>
      <w:pPr>
        <w:numPr>
          <w:ilvl w:val="0"/>
          <w:numId w:val="1005"/>
        </w:numPr>
        <w:pStyle w:val="Compact"/>
      </w:pPr>
      <w:r>
        <w:rPr>
          <w:lang w:val="en"/>
        </w:rPr>
        <w:t xml:space="preserve">¶11</w:t>
      </w:r>
      <w:r>
        <w:rPr>
          <w:lang w:val="en"/>
        </w:rPr>
        <w:t xml:space="preserve"> </w:t>
      </w:r>
      <w:hyperlink r:id="rId46">
        <w:r>
          <w:rPr>
            <w:rStyle w:val="Hyperlink"/>
            <w:bCs/>
            <w:b/>
            <w:lang w:val="en"/>
          </w:rPr>
          <w:t xml:space="preserve">TG-0.8 Implementation Readiness Assessment</w:t>
        </w:r>
      </w:hyperlink>
      <w:r>
        <w:rPr>
          <w:lang w:val="en"/>
        </w:rPr>
        <w:t xml:space="preserve">: the institutional checklist (Section 3.5.2)</w:t>
      </w:r>
    </w:p>
    <w:p>
      <w:pPr>
        <w:pStyle w:val="FirstParagraph"/>
      </w:pPr>
      <w:r>
        <w:rPr>
          <w:lang w:val="en"/>
        </w:rPr>
        <w:t xml:space="preserve">¶12</w:t>
      </w:r>
      <w:r>
        <w:rPr>
          <w:lang w:val="en"/>
        </w:rPr>
        <w:t xml:space="preserve"> </w:t>
      </w:r>
      <w:r>
        <w:drawing>
          <wp:inline>
            <wp:extent cx="152400" cy="152400"/>
            <wp:effectExtent b="0" l="0" r="0" t="0"/>
            <wp:docPr descr="" title="" id="4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¶13</w:t>
      </w:r>
      <w:r>
        <w:rPr>
          <w:lang w:val="en"/>
        </w:rPr>
        <w:t xml:space="preserve"> </w:t>
      </w:r>
      <w:r>
        <w:rPr>
          <w:lang w:val="en"/>
        </w:rPr>
        <w:t xml:space="preserve">This Circular addresses the stock side of the Ocean Accounts Framework, at the same edges as TG-3.1: the asset accounts that record SNA produced assets (SG1) and environmental assets (SG3). In the Ocean Accounts Framework (</w:t>
      </w:r>
      <w:hyperlink r:id="rId36">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Economic flows interacting with SNA assets (Applied)</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Environmental assets supplying ecosystem services to economy (Applied)</w:t>
            </w:r>
          </w:p>
        </w:tc>
      </w:tr>
      <w:tr>
        <w:tc>
          <w:tcPr/>
          <w:p>
            <w:pPr>
              <w:pStyle w:val="Compact"/>
              <w:jc w:val="left"/>
            </w:pPr>
            <w:r>
              <w:rPr>
                <w:lang w:val="en"/>
              </w:rPr>
              <w:t xml:space="preserve">E11</w:t>
            </w:r>
          </w:p>
        </w:tc>
        <w:tc>
          <w:tcPr/>
          <w:p>
            <w:pPr>
              <w:pStyle w:val="Compact"/>
              <w:jc w:val="left"/>
            </w:pPr>
            <w:r>
              <w:rPr>
                <w:lang w:val="en"/>
              </w:rPr>
              <w:t xml:space="preserve">FG3↔SG3</w:t>
            </w:r>
          </w:p>
        </w:tc>
        <w:tc>
          <w:tcPr/>
          <w:p>
            <w:pPr>
              <w:pStyle w:val="Compact"/>
              <w:jc w:val="left"/>
            </w:pPr>
            <w:r>
              <w:rPr>
                <w:lang w:val="en"/>
              </w:rPr>
              <w:t xml:space="preserve">Environmental assets supporting intermediate ecosystem services (Applied)</w:t>
            </w:r>
          </w:p>
        </w:tc>
      </w:tr>
    </w:tbl>
    <w:p>
      <w:pPr>
        <w:pStyle w:val="BodyText"/>
      </w:pPr>
      <w:r>
        <w:rPr>
          <w:lang w:val="en"/>
        </w:rPr>
        <w:t xml:space="preserve">¶14</w:t>
      </w:r>
      <w:r>
        <w:rPr>
          <w:lang w:val="en"/>
        </w:rPr>
        <w:t xml:space="preserve"> </w:t>
      </w:r>
      <w:r>
        <w:rPr>
          <w:bCs/>
          <w:b/>
          <w:lang w:val="en"/>
        </w:rPr>
        <w:t xml:space="preserve">Scope.</w:t>
      </w:r>
      <w:r>
        <w:rPr>
          <w:lang w:val="en"/>
        </w:rPr>
        <w:t xml:space="preserve"> </w:t>
      </w:r>
      <w:r>
        <w:rPr>
          <w:lang w:val="en"/>
        </w:rPr>
        <w:t xml:space="preserve">TG-3.16 owns the QC procedure, the tolerances and the evidence for the asset account tables of TG-3.1, and the reconciliations between those tables and the accounts beside them. It covers asset accounts only. The QC of the other Section 3 accounts — flows (</w:t>
      </w:r>
      <w:hyperlink r:id="rId50">
        <w:r>
          <w:rPr>
            <w:rStyle w:val="Hyperlink"/>
            <w:bCs/>
            <w:b/>
            <w:lang w:val="en"/>
          </w:rPr>
          <w:t xml:space="preserve">TG-3.2</w:t>
        </w:r>
      </w:hyperlink>
      <w:r>
        <w:rPr>
          <w:lang w:val="en"/>
        </w:rPr>
        <w:t xml:space="preserve">,</w:t>
      </w:r>
      <w:r>
        <w:rPr>
          <w:lang w:val="en"/>
        </w:rPr>
        <w:t xml:space="preserve"> </w:t>
      </w:r>
      <w:hyperlink r:id="rId51">
        <w:r>
          <w:rPr>
            <w:rStyle w:val="Hyperlink"/>
            <w:bCs/>
            <w:b/>
            <w:lang w:val="en"/>
          </w:rPr>
          <w:t xml:space="preserve">TG-3.4</w:t>
        </w:r>
      </w:hyperlink>
      <w:r>
        <w:rPr>
          <w:lang w:val="en"/>
        </w:rPr>
        <w:t xml:space="preserve">), economic activity (</w:t>
      </w:r>
      <w:hyperlink r:id="rId52">
        <w:r>
          <w:rPr>
            <w:rStyle w:val="Hyperlink"/>
            <w:bCs/>
            <w:b/>
            <w:lang w:val="en"/>
          </w:rPr>
          <w:t xml:space="preserve">TG-3.3</w:t>
        </w:r>
      </w:hyperlink>
      <w:r>
        <w:rPr>
          <w:lang w:val="en"/>
        </w:rPr>
        <w:t xml:space="preserve">), social (</w:t>
      </w:r>
      <w:hyperlink r:id="rId53">
        <w:r>
          <w:rPr>
            <w:rStyle w:val="Hyperlink"/>
            <w:bCs/>
            <w:b/>
            <w:lang w:val="en"/>
          </w:rPr>
          <w:t xml:space="preserve">TG-3.5</w:t>
        </w:r>
      </w:hyperlink>
      <w:r>
        <w:rPr>
          <w:lang w:val="en"/>
        </w:rPr>
        <w:t xml:space="preserve">) and governance (</w:t>
      </w:r>
      <w:hyperlink r:id="rId54">
        <w:r>
          <w:rPr>
            <w:rStyle w:val="Hyperlink"/>
            <w:bCs/>
            <w:b/>
            <w:lang w:val="en"/>
          </w:rPr>
          <w:t xml:space="preserve">TG-3.7</w:t>
        </w:r>
      </w:hyperlink>
      <w:r>
        <w:rPr>
          <w:lang w:val="en"/>
        </w:rPr>
        <w:t xml:space="preserve">) accounts, and combined presentations (</w:t>
      </w:r>
      <w:hyperlink r:id="rId55">
        <w:r>
          <w:rPr>
            <w:rStyle w:val="Hyperlink"/>
            <w:bCs/>
            <w:b/>
            <w:lang w:val="en"/>
          </w:rPr>
          <w:t xml:space="preserve">TG-3.8</w:t>
        </w:r>
      </w:hyperlink>
      <w:r>
        <w:rPr>
          <w:lang w:val="en"/>
        </w:rPr>
        <w:t xml:space="preserve">) — sits with TG-0.7 and the circular that owns each account; TG-3.16 meets them only where they reconcile with an asset cell (Section 3.6). It sets no accounting rule of its own and records no account entry, so it shares none.</w:t>
      </w:r>
    </w:p>
    <w:bookmarkStart w:id="5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8"/>
    <w:p>
      <w:pPr>
        <w:pStyle w:val="BodyText"/>
      </w:pPr>
      <w:r>
        <w:rPr>
          <w:lang w:val="en"/>
        </w:rPr>
        <w:t xml:space="preserve">¶1</w:t>
      </w:r>
      <w:r>
        <w:rPr>
          <w:lang w:val="en"/>
        </w:rPr>
        <w:t xml:space="preserve"> </w:t>
      </w:r>
      <w:r>
        <w:rPr>
          <w:lang w:val="en"/>
        </w:rPr>
        <w:t xml:space="preserve">An asset account can balance and still be wrong. The identity</w:t>
      </w:r>
      <w:r>
        <w:rPr>
          <w:lang w:val="en"/>
        </w:rPr>
        <w:t xml:space="preserve"> </w:t>
      </w:r>
      <w:r>
        <w:rPr>
          <w:iCs/>
          <w:i/>
          <w:lang w:val="en"/>
        </w:rPr>
        <w:t xml:space="preserve">opening + additions — reductions = closing</w:t>
      </w:r>
      <w:r>
        <w:rPr>
          <w:lang w:val="en"/>
        </w:rPr>
        <w:t xml:space="preserve"> </w:t>
      </w:r>
      <w:r>
        <w:rPr>
          <w:lang w:val="en"/>
        </w:rPr>
        <w:t xml:space="preserve">holds in any account whose compiler has closed it on a residual, and a residual can absorb a dropped conversion, a double-counted loss or a unit slip without trace. The worked example in Section 3.8 carries nine seeded errors, and every column in it balances. The identity is necessary, and it is the first check; it is not sufficient, and the rest of this Circular is about what else has to be tested.</w:t>
      </w:r>
    </w:p>
    <w:bookmarkStart w:id="61" w:name="Xfc1a7b16adf65cb9b35bf23e5a8c999e33f0dba"/>
    <w:p>
      <w:pPr>
        <w:pStyle w:val="Heading3"/>
      </w:pPr>
      <w:r>
        <w:rPr>
          <w:lang w:val="en"/>
        </w:rPr>
        <w:t xml:space="preserve">3.1</w:t>
      </w:r>
      <w:r>
        <w:rPr>
          <w:lang w:val="en"/>
        </w:rPr>
        <w:t xml:space="preserve"> </w:t>
      </w:r>
      <w:r>
        <w:rPr>
          <w:lang w:val="en"/>
        </w:rPr>
        <w:t xml:space="preserve">Concepts, Scope and Layers</w:t>
      </w:r>
    </w:p>
    <w:p>
      <w:pPr>
        <w:pStyle w:val="FirstParagraph"/>
      </w:pPr>
      <w:hyperlink w:anchor="Xfc1a7b16adf65cb9b35bf23e5a8c999e33f0dba">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Concepts, Scope and Layers”</w:t>
        </w:r>
      </w:hyperlink>
    </w:p>
    <w:bookmarkEnd w:id="61"/>
    <w:p>
      <w:pPr>
        <w:pStyle w:val="BodyText"/>
      </w:pPr>
      <w:r>
        <w:rPr>
          <w:lang w:val="en"/>
        </w:rPr>
        <w:t xml:space="preserve">¶1</w:t>
      </w:r>
      <w:r>
        <w:rPr>
          <w:lang w:val="en"/>
        </w:rPr>
        <w:t xml:space="preserve"> </w:t>
      </w:r>
      <w:r>
        <w:drawing>
          <wp:inline>
            <wp:extent cx="152400" cy="152400"/>
            <wp:effectExtent b="0" l="0" r="0" t="0"/>
            <wp:docPr descr="" title="" id="63"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Interim defaults pending Secretariat decision</w:t>
      </w:r>
    </w:p>
    <w:p>
      <w:pPr>
        <w:pStyle w:val="BodyText"/>
      </w:pPr>
      <w:r>
        <w:rPr>
          <w:lang w:val="en"/>
        </w:rPr>
        <w:t xml:space="preserve">¶2</w:t>
      </w:r>
      <w:r>
        <w:rPr>
          <w:lang w:val="en"/>
        </w:rPr>
        <w:t xml:space="preserve"> </w:t>
      </w:r>
      <w:r>
        <w:rPr>
          <w:lang w:val="en"/>
        </w:rPr>
        <w:t xml:space="preserve">Four conventions this Circular depends on are not yet settled. Until they are, it uses these defaults, and comments on them are invited: a two-field flag of grade and status (C2, Section 3.7); the uncertainty ladder of Section 3.9 at 95% (C3); exchange values only, one carbon price per account (C4, AQ-VA6), which departs from TG-6.2 Section 3.6, where the social cost of carbon is accepted for carbon retention; and the indicative tolerances of Tables 3.16.4 and 3.16.5 (C7).</w:t>
      </w:r>
    </w:p>
    <w:p>
      <w:pPr>
        <w:pStyle w:val="BodyText"/>
      </w:pPr>
      <w:r>
        <w:rPr>
          <w:lang w:val="en"/>
        </w:rPr>
        <w:t xml:space="preserve">¶3</w:t>
      </w:r>
      <w:r>
        <w:rPr>
          <w:lang w:val="en"/>
        </w:rPr>
        <w:t xml:space="preserve"> </w:t>
      </w:r>
      <w:r>
        <w:rPr>
          <w:lang w:val="en"/>
        </w:rPr>
        <w:t xml:space="preserve">The three terms below are used in the IPCC sense throughout (Table 3.16.1)</w:t>
      </w:r>
      <w:hyperlink w:anchor="user-content-fn-1">
        <w:r>
          <w:rPr>
            <w:rStyle w:val="Hyperlink"/>
            <w:vertAlign w:val="superscript"/>
            <w:lang w:val="en"/>
          </w:rPr>
          <w:t xml:space="preserve">1</w:t>
        </w:r>
      </w:hyperlink>
      <w:r>
        <w:rPr>
          <w:lang w:val="en"/>
        </w:rPr>
        <w:t xml:space="preserve">. They separate who performs a check from what it is compared against, and the separation is what makes a review independent.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Term</w:t>
            </w:r>
          </w:p>
        </w:tc>
        <w:tc>
          <w:tcPr/>
          <w:p>
            <w:pPr>
              <w:pStyle w:val="Compact"/>
              <w:jc w:val="left"/>
            </w:pPr>
            <w:r>
              <w:rPr>
                <w:lang w:val="en"/>
              </w:rPr>
              <w:t xml:space="preserve">Performed by</w:t>
            </w:r>
          </w:p>
        </w:tc>
        <w:tc>
          <w:tcPr/>
          <w:p>
            <w:pPr>
              <w:pStyle w:val="Compact"/>
              <w:jc w:val="left"/>
            </w:pPr>
            <w:r>
              <w:rPr>
                <w:lang w:val="en"/>
              </w:rPr>
              <w:t xml:space="preserve">Compares the account with</w:t>
            </w:r>
          </w:p>
        </w:tc>
      </w:tr>
      <w:tr>
        <w:tc>
          <w:tcPr/>
          <w:p>
            <w:pPr>
              <w:pStyle w:val="Compact"/>
              <w:jc w:val="left"/>
            </w:pPr>
            <w:r>
              <w:rPr>
                <w:bCs/>
                <w:b/>
                <w:lang w:val="en"/>
              </w:rPr>
              <w:t xml:space="preserve">Quality control (QC)</w:t>
            </w:r>
          </w:p>
        </w:tc>
        <w:tc>
          <w:tcPr/>
          <w:p>
            <w:pPr>
              <w:pStyle w:val="Compact"/>
              <w:jc w:val="left"/>
            </w:pPr>
            <w:r>
              <w:rPr>
                <w:lang w:val="en"/>
              </w:rPr>
              <w:t xml:space="preserve">The compilers, routinely, during compilation</w:t>
            </w:r>
          </w:p>
        </w:tc>
        <w:tc>
          <w:tcPr/>
          <w:p>
            <w:pPr>
              <w:pStyle w:val="Compact"/>
              <w:jc w:val="left"/>
            </w:pPr>
            <w:r>
              <w:rPr>
                <w:lang w:val="en"/>
              </w:rPr>
              <w:t xml:space="preserve">Its own inputs, identities and rules</w:t>
            </w:r>
          </w:p>
        </w:tc>
      </w:tr>
      <w:tr>
        <w:tc>
          <w:tcPr/>
          <w:p>
            <w:pPr>
              <w:pStyle w:val="Compact"/>
              <w:jc w:val="left"/>
            </w:pPr>
            <w:r>
              <w:rPr>
                <w:bCs/>
                <w:b/>
                <w:lang w:val="en"/>
              </w:rPr>
              <w:t xml:space="preserve">Quality assurance (QA)</w:t>
            </w:r>
          </w:p>
        </w:tc>
        <w:tc>
          <w:tcPr/>
          <w:p>
            <w:pPr>
              <w:pStyle w:val="Compact"/>
              <w:jc w:val="left"/>
            </w:pPr>
            <w:r>
              <w:rPr>
                <w:lang w:val="en"/>
              </w:rPr>
              <w:t xml:space="preserve">People not involved in compiling it</w:t>
            </w:r>
          </w:p>
        </w:tc>
        <w:tc>
          <w:tcPr/>
          <w:p>
            <w:pPr>
              <w:pStyle w:val="Compact"/>
              <w:jc w:val="left"/>
            </w:pPr>
            <w:r>
              <w:rPr>
                <w:lang w:val="en"/>
              </w:rPr>
              <w:t xml:space="preserve">The evidence pack, by recomputation and review</w:t>
            </w:r>
          </w:p>
        </w:tc>
      </w:tr>
      <w:tr>
        <w:tc>
          <w:tcPr/>
          <w:p>
            <w:pPr>
              <w:pStyle w:val="Compact"/>
              <w:jc w:val="left"/>
            </w:pPr>
            <w:r>
              <w:rPr>
                <w:bCs/>
                <w:b/>
                <w:lang w:val="en"/>
              </w:rPr>
              <w:t xml:space="preserve">Verification</w:t>
            </w:r>
          </w:p>
        </w:tc>
        <w:tc>
          <w:tcPr/>
          <w:p>
            <w:pPr>
              <w:pStyle w:val="Compact"/>
              <w:jc w:val="left"/>
            </w:pPr>
            <w:r>
              <w:rPr>
                <w:lang w:val="en"/>
              </w:rPr>
              <w:t xml:space="preserve">Either, using methods external to the account</w:t>
            </w:r>
          </w:p>
        </w:tc>
        <w:tc>
          <w:tcPr/>
          <w:p>
            <w:pPr>
              <w:pStyle w:val="Compact"/>
              <w:jc w:val="left"/>
            </w:pPr>
            <w:r>
              <w:rPr>
                <w:lang w:val="en"/>
              </w:rPr>
              <w:t xml:space="preserve">Independent data: a global product, another assessment, a neighbouring account</w:t>
            </w:r>
          </w:p>
        </w:tc>
      </w:tr>
    </w:tbl>
    <w:p>
      <w:pPr>
        <w:pStyle w:val="BodyText"/>
      </w:pPr>
      <w:r>
        <w:rPr>
          <w:lang w:val="en"/>
        </w:rPr>
        <w:t xml:space="preserve">¶4</w:t>
      </w:r>
      <w:r>
        <w:rPr>
          <w:lang w:val="en"/>
        </w:rPr>
        <w:t xml:space="preserve"> </w:t>
      </w:r>
      <w:r>
        <w:rPr>
          <w:iCs/>
          <w:i/>
          <w:lang w:val="en"/>
        </w:rPr>
        <w:t xml:space="preserve">Table 3.16.1: Terms, after IPCC (2006) Volume 1 Chapter 6 Box 6.1.</w:t>
      </w:r>
    </w:p>
    <w:p>
      <w:pPr>
        <w:pStyle w:val="BodyText"/>
      </w:pPr>
      <w:r>
        <w:rPr>
          <w:lang w:val="en"/>
        </w:rPr>
        <w:t xml:space="preserve">¶5</w:t>
      </w:r>
      <w:r>
        <w:rPr>
          <w:lang w:val="en"/>
        </w:rPr>
        <w:t xml:space="preserve"> </w:t>
      </w:r>
      <w:r>
        <w:rPr>
          <w:bCs/>
          <w:b/>
          <w:lang w:val="en"/>
        </w:rPr>
        <w:t xml:space="preserve">Scope.</w:t>
      </w:r>
      <w:r>
        <w:rPr>
          <w:lang w:val="en"/>
        </w:rPr>
        <w:t xml:space="preserve"> </w:t>
      </w:r>
      <w:r>
        <w:rPr>
          <w:lang w:val="en"/>
        </w:rPr>
        <w:t xml:space="preserve">The checks apply to the asset accounts of TG-3.1, physical and monetary, as the Framework Position sets out: SEEA CF individual environmental assets (coastal aquifers only for water), SEEA EA extent, condition and monetary ecosystem assets, and produced assets only where they touch environmental assets.</w:t>
      </w:r>
    </w:p>
    <w:p>
      <w:pPr>
        <w:pStyle w:val="BodyText"/>
      </w:pPr>
      <w:r>
        <w:rPr>
          <w:lang w:val="en"/>
        </w:rPr>
        <w:t xml:space="preserve">¶6</w:t>
      </w:r>
      <w:r>
        <w:rPr>
          <w:lang w:val="en"/>
        </w:rPr>
        <w:t xml:space="preserve"> </w:t>
      </w:r>
      <w:r>
        <w:rPr>
          <w:bCs/>
          <w:b/>
          <w:lang w:val="en"/>
        </w:rPr>
        <w:t xml:space="preserve">Basis.</w:t>
      </w:r>
      <w:r>
        <w:rPr>
          <w:lang w:val="en"/>
        </w:rPr>
        <w:t xml:space="preserve"> </w:t>
      </w:r>
      <w:r>
        <w:rPr>
          <w:lang w:val="en"/>
        </w:rPr>
        <w:t xml:space="preserve">No SEEA publication gives a quality assessment framework of its own. The SEEA EA sets out the quality dimensions and the uncertainty categories (paras 2.86—2.95), points compilers to the IMF Data Quality Assessment Framework (para 2.89), and lists the articulation of data quality assessment frameworks in its research agenda as work still to do</w:t>
      </w:r>
      <w:hyperlink w:anchor="user-content-fn-2">
        <w:r>
          <w:rPr>
            <w:rStyle w:val="Hyperlink"/>
            <w:vertAlign w:val="superscript"/>
            <w:lang w:val="en"/>
          </w:rPr>
          <w:t xml:space="preserve">2</w:t>
        </w:r>
      </w:hyperlink>
      <w:r>
        <w:rPr>
          <w:lang w:val="en"/>
        </w:rPr>
        <w:t xml:space="preserve">. The SEEA Central Framework treats quality as data confrontation: putting estimates into an accounting framework exposes their inconsistencies (paras 1.54, 6.7, 6.86), and revisions are “standard practice” (para 6.68)</w:t>
      </w:r>
      <w:hyperlink w:anchor="user-content-fn-3">
        <w:r>
          <w:rPr>
            <w:rStyle w:val="Hyperlink"/>
            <w:vertAlign w:val="superscript"/>
            <w:lang w:val="en"/>
          </w:rPr>
          <w:t xml:space="preserve">3</w:t>
        </w:r>
      </w:hyperlink>
      <w:r>
        <w:rPr>
          <w:lang w:val="en"/>
        </w:rPr>
        <w:t xml:space="preserve">. This Circular therefore draws the procedure from general frameworks the SEEA points to: UN-NQAF requirement 15.1, that source data, intermediate results and outputs are regularly assessed and validated</w:t>
      </w:r>
      <w:hyperlink w:anchor="user-content-fn-4">
        <w:r>
          <w:rPr>
            <w:rStyle w:val="Hyperlink"/>
            <w:vertAlign w:val="superscript"/>
            <w:lang w:val="en"/>
          </w:rPr>
          <w:t xml:space="preserve">4</w:t>
        </w:r>
      </w:hyperlink>
      <w:r>
        <w:rPr>
          <w:lang w:val="en"/>
        </w:rPr>
        <w:t xml:space="preserve">; IMF DQAF element 3.4, validation of intermediate data and outputs</w:t>
      </w:r>
      <w:hyperlink w:anchor="user-content-fn-5">
        <w:r>
          <w:rPr>
            <w:rStyle w:val="Hyperlink"/>
            <w:vertAlign w:val="superscript"/>
            <w:lang w:val="en"/>
          </w:rPr>
          <w:t xml:space="preserve">5</w:t>
        </w:r>
      </w:hyperlink>
      <w:r>
        <w:rPr>
          <w:lang w:val="en"/>
        </w:rPr>
        <w:t xml:space="preserve">; and GSBPM v5.2 sub-processes 5.3 (review and validate) and 6.2 (validate outputs)</w:t>
      </w:r>
      <w:hyperlink w:anchor="user-content-fn-6">
        <w:r>
          <w:rPr>
            <w:rStyle w:val="Hyperlink"/>
            <w:vertAlign w:val="superscript"/>
            <w:lang w:val="en"/>
          </w:rPr>
          <w:t xml:space="preserve">6</w:t>
        </w:r>
      </w:hyperlink>
      <w:r>
        <w:rPr>
          <w:lang w:val="en"/>
        </w:rPr>
        <w:t xml:space="preserve">.</w:t>
      </w:r>
    </w:p>
    <w:p>
      <w:pPr>
        <w:pStyle w:val="BodyText"/>
      </w:pPr>
      <w:r>
        <w:rPr>
          <w:lang w:val="en"/>
        </w:rPr>
        <w:t xml:space="preserve">¶7</w:t>
      </w:r>
      <w:r>
        <w:rPr>
          <w:lang w:val="en"/>
        </w:rPr>
        <w:t xml:space="preserve"> </w:t>
      </w:r>
      <w:r>
        <w:rPr>
          <w:bCs/>
          <w:b/>
          <w:lang w:val="en"/>
        </w:rPr>
        <w:t xml:space="preserve">Layers.</w:t>
      </w:r>
      <w:r>
        <w:rPr>
          <w:lang w:val="en"/>
        </w:rPr>
        <w:t xml:space="preserve"> </w:t>
      </w:r>
      <w:r>
        <w:rPr>
          <w:lang w:val="en"/>
        </w:rPr>
        <w:t xml:space="preserve">The Circular follows the pattern the IPCC inventory guidelines use for the same problem: general procedures are written once, and category procedures sit with the category</w:t>
      </w:r>
      <w:hyperlink w:anchor="user-content-fn-1">
        <w:r>
          <w:rPr>
            <w:rStyle w:val="Hyperlink"/>
            <w:vertAlign w:val="superscript"/>
            <w:lang w:val="en"/>
          </w:rPr>
          <w:t xml:space="preserve">1</w:t>
        </w:r>
      </w:hyperlink>
      <w:r>
        <w:rPr>
          <w:lang w:val="en"/>
        </w:rPr>
        <w:t xml:space="preserve">. TG-0.7 holds the principles; for this consultation TG-3.16 also carries the generic QC core (Section 3.2). TG-3.16 holds QC for the asset-account category, shared by TG-3.1 and the Section 6 circulars that populate asset accounts. TG-3.1 and each Section 6 circular keep their rules, and list in their own quality subsection only the checks distinctive to them. Figure 3.16.1 places each kind of check in the statistical production process.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6" name="Picture"/>
                  <a:graphic>
                    <a:graphicData uri="http://schemas.openxmlformats.org/drawingml/2006/picture">
                      <pic:pic>
                        <pic:nvPicPr>
                          <pic:cNvPr descr="data:image/svg+xml;base64,PHN2ZyB2aWV3Ym94PSIwIDAgOTQwIDYwMCIgeG1sbnM9Imh0dHA6Ly93d3cudzMub3JnLzIwMDAvc3ZnIiByb2xlPSJpbWciIGFyaWEtbGFiZWxsZWRieT0iZmlndGl0bGUgZmlnZGVzYyI+CiAgICAgICAgPHRpdGxlIGlkPSJmaWctdGctMy0xNi0xLXFhcWMtbGF5ZXJzLWZpZ3RpdGxlIj5URy0zLjE2IC0tIFFDLCBRQSBhbmQgdmVyaWZpY2F0aW9uIG92ZXIgdGhlIEdTQlBNIHBoYXNlcywgYW5kIHRoZSB0aHJlZSBsYXllcnMgb2YgcnVsZXM8L3RpdGxlPgogICAgICAgIDxkZXNjIGlkPSJmaWctdGctMy0xNi0xLXFhcWMtbGF5ZXJzLWZpZ2Rlc2MiPkEgaG9yaXpvbnRhbCBiYW5kIHNob3dzIHRoZSBlaWdodCBwaGFzZXMgb2YgdGhlIEdlbmVyaWMgU3RhdGlzdGljYWwgQnVzaW5lc3MgUHJvY2VzcyBNb2RlbCB2ZXJzaW9uIDUuMjogMSBTcGVjaWZ5IG5lZWRzLCAyIERlc2lnbiwgMyBCdWlsZCwgNCBDb2xsZWN0LCA1IFByb2Nlc3MgKHN1Yi1wcm9jZXNzIDUuMywgcmV2aWV3IGFuZCB2YWxpZGF0ZSksIDYgQW5hbHlzZSAoc3ViLXByb2Nlc3MgNi4yLCB2YWxpZGF0ZSBvdXRwdXRzKSwgNyBEaXNzZW1pbmF0ZSBhbmQgOCBFdmFsdWF0ZS4gQWJvdmUgZWFjaCBwaGFzZSBhcmUgdGhlIGFjdGl2aXRpZXMgYW5kIGNoZWNrIGZhbWlsaWVzIHJ1biBpbiBpdC4gUGhhc2UgMiwgRGVzaWduOiB0aGUgUUEvUUMgcGxhbiBhbmQgZGF0YS1xdWFsaXR5IG9iamVjdGl2ZXMgb2YgU2VjdGlvbiAzLjIuIFBoYXNlIDMsIEJ1aWxkOiB0aGUgcGFyYW1ldGVyIHJlZ2lzdGVyIGFuZCB2ZXJzaW9uIGNvbnRyb2wuIFBoYXNlIDQsIENvbGxlY3Q6IHNvdXJjZS1kYXRhIGFjY2VwdGFuY2UuIFBoYXNlIDUsIFByb2Nlc3M6IHRoZSBnZW5lcmFsIFFDIGNoZWNrcyBBUS1JRCwgQVEtVU4sIEFRLVJULCBBUS1QTSBhbmQgQVEtVkE7IHRoZSBhc3NldC10eXBlIGFjY2VwdGFuY2UgY2hlY2tzIEFRLUVYLCBBUS1DTywgQVEtRlMsIEFRLU1OLCBBUS1FViBhbmQgQVEtUFI7IGFuZCBxdWFsaXR5IGZsYWdzLCBBUS1GTC4gUGhhc2UgNiwgQW5hbHlzZTogcmVjb25jaWxpYXRpb24sIEFRLVJDOyB2ZXJpZmljYXRpb24gYWdhaW5zdCBnbG9iYWwgcHJvZHVjdHMgYW5kIG90aGVyIGFzc2Vzc21lbnRzLCBBUS1WRjsgYW5kIHVuY2VydGFpbnR5IGFzc2Vzc21lbnQsIFNlY3Rpb24gMy45LiBCZXR3ZWVuIHBoYXNlcyA2IGFuZCA3IHNpdCB0aGUgUUEgcmV2aWV3LCBBUS1SVjEsIHJlY29tbWVuZGVkIGJ1dCBub3QgYSBjb25kaXRpb24gb2YgcmVsZWFzZSwgYW5kLCBiZWxvdyBpdCwgdGhlIHJlbGVhc2UgZ2F0ZSB0aGF0IFRHLTAuNyBzZXRzLCBzaWduZWQgYnkgdGhlIHN0YXRpc3RpY2FsIG93bmVyIChBUS1SVjMpLCB0aGUgb25seSBkZWNpc2lvbiBwb2ludCBpbiB0aGUgZmlndXJlLiBQaGFzZSA3LCBEaXNzZW1pbmF0ZTogZG9jdW1lbnRhdGlvbiBhbmQgdGhlIGV2aWRlbmNlIHBhY2ssIEFRLVJWMi4gUGhhc2UgOCwgRXZhbHVhdGU6IHRoZSB0aWVyLXByb2dyZXNzaW9uIHBsYW4gYW5kIHRoZSBhcmNoaXZlLCBBUS1SVjM7IGEgZGFzaGVkIGFycm93IHJ1bnMgZnJvbSB0aGUgdGllciBwbGFuIGJhY2sgdG8gdGhlIFFBL1FDIHBsYW4gZm9yIHRoZSBuZXh0IGN5Y2xlLiBCZWxvdyB0aGUgYmFuZCwgdGhyZWUgYmFycyBzaG93IHdobyBwZXJmb3JtcyBlYWNoIGtpbmQgb2YgY2hlY2suIFF1YWxpdHkgY29udHJvbCBpcyBydW4gYnkgdGhlIGNvbXBpbGVycywgcm91dGluZWx5LCBkdXJpbmcgY29tcGlsYXRpb24sIGFjcm9zcyBwaGFzZXMgMyB0byA2LiBRdWFsaXR5IGFzc3VyYW5jZSBpcyBydW4gYnkgcGVvcGxlIG5vdCBpbnZvbHZlZCBpbiBjb21waWxpbmcgdGhlIGFjY291bnQsIHdobyByZWNvbXB1dGUgYW5kIHJldmlldyB0aGUgZXZpZGVuY2UgcGFjaywgYXQgdGhlIGVuZCBvZiBwaGFzZSA2IHVwIHRvIHRoZSByZWxlYXNlIGdhdGUuIFZlcmlmaWNhdGlvbiB1c2VzIGluZGVwZW5kZW50IGRhdGEgLS0gZ2xvYmFsIHByb2R1Y3RzLCBvdGhlciBhc3Nlc3NtZW50cyBhbmQgbmVpZ2hib3VyaW5nIGFjY291bnRzIC0tIGluIHBoYXNlIDYsIGFuZCBtYXkgYmUgcnVuIGJ5IGVpdGhlciBncm91cC4gQXQgdGhlIGZvb3QsIHRocmVlIHN0YWNrZWQsIGluZGVudGVkIGxheWVycyBzaG93IHdoZXJlIHRoZSBydWxlcyBhcmUgd3JpdHRlbjogVEctMC43IGhvbGRzIHRoZSBwcmluY2lwbGVzIChxdWFsaXR5IGRpbWVuc2lvbnMsIHVuY2VydGFpbnR5IGNhdGVnb3JpZXMgYW5kIGZsYWcgY29kZXMpIG9uY2UgZm9yIGV2ZXJ5IGFjY291bnQ7IFRHLTMuMTYgaG9sZHMgdGhlIGNhdGVnb3J5IFFDIGZvciBhc3NldCBhY2NvdW50cyAoY2hlY2tzLCB0b2xlcmFuY2VzIGFuZCBldmlkZW5jZSk7IFRHLTMuMSBhbmQgdGhlIFNlY3Rpb24gNiBjaXJjdWxhcnMgaG9sZCB0aGVpciBvd24gY29tcGlsYXRpb24gcnVsZXMgYW5kIHRoZSBjaGVja3MgZGlzdGluY3RpdmUgdG8gZWFjaCBhc3NldC4gQSBzaWRlIG5vdGUgcmVjb3JkcyB0aGF0IHRoaXMgZm9sbG93cyBJUENDIHByYWN0aWNlOiBnZW5lcmFsIFFDIHByb2NlZHVyZXMgYXJlIHdyaXR0ZW4gb25jZSwgYW5kIGNhdGVnb3J5LXNwZWNpZmljIHByb2NlZHVyZXMgc2l0IHdpdGggdGhlIGNhdGVnb3J5LjwvZGVzYz4KCiAgICAgICAgPGRlZnM+CiAgICAgICAgICA8bWFya2VyIGlkPSJmaWctdGctMy0xNi0xLXFhcWMtbGF5ZXJz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PT09PT0gTmV4dC1jeWNsZSBmZWVkYmFjayAodGllciBwbGFuIC0+IFFBL1FDIHBsYW4pID09PT09IC0tPgogICAgICAgIDxwYXRoIGQ9Ik04ODIsODggTDg4MiwxNiBMMTI3LDE2IEwxMjcsMTQ0IiBjbGFzcz0iZWRnZS1kYXNoZWQiIG1hcmtlci1lbmQ9InVybCgjZmlnLXRnLTMtMTYtMS1xYXFjLWxheWVycy1hcnJvdykiPjwvcGF0aD4KICAgICAgICA8cmVjdCB4PSI0NDAiIHk9IjkiIHdpZHRoPSI4OCIgaGVpZ2h0PSIxNCIgY2xhc3M9ImVkZ2UtbGFiZWwtYmciPjwvcmVjdD4KICAgICAgICA8dGV4dCB4PSI0ODQiIHk9IjIwIiB0ZXh0LWFuY2hvcj0ibWlkZGxlIiBjbGFzcz0iZWRnZS1sYWJlbCI+bmV4dCBjeWNsZTwvdGV4dD4KCiAgICAgICAgPCEtLSA9PT09PSBBQ1RJVklUSUVTIEFORCBDSEVDSyBGQU1JTElFUyAoYWJvdmUgdGhlIGJhbmQpID09PT09IC0tPgogICAgICAgIDwhLS0gUGhhc2UgMjogRGVzaWduIC0tPgogICAgICAgIDxyZWN0IHg9IjgzIiB5PSIxNDYiIHdpZHRoPSI4OCIgaGVpZ2h0PSI1MCIgY2xhc3M9Im4tZ2VuZXJpYyIgcng9IjQiPjwvcmVjdD4KICAgICAgICA8dGV4dCB4PSIxMjciIHk9IjE2NCIgdGV4dC1hbmNob3I9Im1pZGRsZSIgY2xhc3M9Im5vZGUtbGFiZWwgYW5jaG9yIj5RQS9RQyBwbGFuPHRzcGFuIHg9IjEyNyIgZHk9IjE0IiBjbGFzcz0ibm9kZS1kZXNjIj5hbmQgZGF0YS1xdWFsaXR5PC90c3Bhbj48dHNwYW4geD0iMTI3IiBkeT0iMTIiIGNsYXNzPSJub2RlLWRlc2MiPm9iamVjdGl2ZXM8L3RzcGFuPjwvdGV4dD4KCiAgICAgICAgPCEtLSBQaGFzZSAzOiBCdWlsZCAtLT4KICAgICAgICA8cmVjdCB4PSIxNzUiIHk9IjE0NiIgd2lkdGg9Ijg4IiBoZWlnaHQ9IjUwIiBjbGFzcz0ibi1wcm9jZXNzIiByeD0iNCI+PC9yZWN0PgogICAgICAgIDx0ZXh0IHg9IjIxOSIgeT0iMTYzIiB0ZXh0LWFuY2hvcj0ibWlkZGxlIiBjbGFzcz0ibm9kZS1sYWJlbCBhbmNob3IiPlBhcmFtZXRlcjx0c3BhbiB4PSIyMTkiIGR5PSIxNCI+cmVnaXN0ZXI8L3RzcGFuPjx0c3BhbiB4PSIyMTkiIGR5PSIxMyIgY2xhc3M9Im5vZGUtZGVzYyI+dmVyc2lvbiBjb250cm9sPC90c3Bhbj48L3RleHQ+CgogICAgICAgIDwhLS0gUGhhc2UgNDogQ29sbGVjdCAtLT4KICAgICAgICA8cmVjdCB4PSIyNjciIHk9IjE0NiIgd2lkdGg9Ijg0IiBoZWlnaHQ9IjUwIiBjbGFzcz0ibi1wcm9jZXNzIiByeD0iNCI+PC9yZWN0PgogICAgICAgIDx0ZXh0IHg9IjMwOSIgeT0iMTY3IiB0ZXh0LWFuY2hvcj0ibWlkZGxlIiBjbGFzcz0ibm9kZS1sYWJlbCBhbmNob3IiPlNvdXJjZSBkYXRhPHRzcGFuIHg9IjMwOSIgZHk9IjE1IiBjbGFzcz0ibm9kZS1kZXNjIj5hY2NlcHRhbmNlPC90c3Bhbj48L3RleHQ+CgogICAgICAgIDwhLS0gUGhhc2UgNTogUHJvY2VzcyAoNS4zIHJldmlldyBhbmQgdmFsaWRhdGUpIC0tPgogICAgICAgIDxyZWN0IHg9IjM1NSIgeT0iMzAiIHdpZHRoPSIxNDAiIGhlaWdodD0iNTAiIGNsYXNzPSJuLXByb2Nlc3MiIHJ4PSI0Ij48L3JlY3Q+CiAgICAgICAgPHRleHQgeD0iNDI1IiB5PSI1MSIgdGV4dC1hbmNob3I9Im1pZGRsZSIgY2xhc3M9Im5vZGUtbGFiZWwgYW5jaG9yIj5HZW5lcmFsIFFDIGNoZWNrczx0c3BhbiB4PSI0MjUiIGR5PSIxNSIgY2xhc3M9Im5vZGUtZGVzYyI+QVEtSUQsIFVOLCBSVCwgUE0sIFZBPC90c3Bhbj48L3RleHQ+CgogICAgICAgIDxyZWN0IHg9IjM1NSIgeT0iODgiIHdpZHRoPSIxNDAiIGhlaWdodD0iNTAiIGNsYXNzPSJuLXByb2Nlc3MiIHJ4PSI0Ij48L3JlY3Q+CiAgICAgICAgPHRleHQgeD0iNDI1IiB5PSIxMDkiIHRleHQtYW5jaG9yPSJtaWRkbGUiIGNsYXNzPSJub2RlLWxhYmVsIGFuY2hvciI+QXNzZXQtdHlwZSBjaGVja3M8dHNwYW4geD0iNDI1IiBkeT0iMTUiIGNsYXNzPSJub2RlLWRlc2MiPkFRLUVYLCBDTywgRlMsIE1OLCBFViwgUFI8L3RzcGFuPjwvdGV4dD4KCiAgICAgICAgPHJlY3QgeD0iMzU1IiB5PSIxNDYiIHdpZHRoPSIxNDAiIGhlaWdodD0iNTAiIGNsYXNzPSJuLXByb2Nlc3MiIHJ4PSI0Ij48L3JlY3Q+CiAgICAgICAgPHRleHQgeD0iNDI1IiB5PSIxNjciIHRleHQtYW5jaG9yPSJtaWRkbGUiIGNsYXNzPSJub2RlLWxhYmVsIGFuY2hvciI+UXVhbGl0eSBmbGFnczx0c3BhbiB4PSI0MjUiIGR5PSIxNSIgY2xhc3M9Im5vZGUtZGVzYyI+QVEtRkwsIGNlbGwgYnkgY2VsbDwvdHNwYW4+PC90ZXh0PgoKICAgICAgICA8IS0tIFBoYXNlIDY6IEFuYWx5c2UgKDYuMiB2YWxpZGF0ZSBvdXRwdXRzKSAtLT4KICAgICAgICA8cmVjdCB4PSI0OTkiIHk9IjMwIiB3aWR0aD0iMTQwIiBoZWlnaHQ9IjUwIiBjbGFzcz0ibi1wcm9jZXNzIiByeD0iNCI+PC9yZWN0PgogICAgICAgIDx0ZXh0IHg9IjU2OSIgeT0iNTEiIHRleHQtYW5jaG9yPSJtaWRkbGUiIGNsYXNzPSJub2RlLWxhYmVsIGFuY2hvciI+UmVjb25jaWxpYXRpb248dHNwYW4geD0iNTY5IiBkeT0iMTUiIGNsYXNzPSJub2RlLWRlc2MiPkFRLVJDOiBQU1VULCBTTkEsIEdGUzwvdHNwYW4+PC90ZXh0PgoKICAgICAgICA8cmVjdCB4PSI0OTkiIHk9Ijg4IiB3aWR0aD0iMTQwIiBoZWlnaHQ9IjUwIiBjbGFzcz0ibi1leHRlcm5hbCIgcng9IjQiPjwvcmVjdD4KICAgICAgICA8dGV4dCB4PSI1NjkiIHk9IjEwNiIgdGV4dC1hbmNob3I9Im1pZGRsZSIgY2xhc3M9Im5vZGUtbGFiZWwgYW5jaG9yIj5WZXJpZmljYXRpb248dHNwYW4geD0iNTY5IiBkeT0iMTQiIGNsYXNzPSJub2RlLWRlc2MiPkFRLVZGOiBnbG9iYWwgcHJvZHVjdHMsPC90c3Bhbj48dHNwYW4geD0iNTY5IiBkeT0iMTIiIGNsYXNzPSJub2RlLWRlc2MiPm90aGVyIGFzc2Vzc21lbnRzPC90c3Bhbj48L3RleHQ+CgogICAgICAgIDxyZWN0IHg9IjQ5OSIgeT0iMTQ2IiB3aWR0aD0iMTQwIiBoZWlnaHQ9IjUwIiBjbGFzcz0ibi1wcm9jZXNzIiByeD0iNCI+PC9yZWN0PgogICAgICAgIDx0ZXh0IHg9IjU2OSIgeT0iMTY3IiB0ZXh0LWFuY2hvcj0ibWlkZGxlIiBjbGFzcz0ibm9kZS1sYWJlbCBhbmNob3IiPlVuY2VydGFpbnR5PHRzcGFuIHg9IjU2OSIgZHk9IjE1IiBjbGFzcz0ibm9kZS1kZXNjIj5TZWN0aW9uIDMuOTwvdHNwYW4+PC90ZXh0PgoKICAgICAgICA8IS0tIEJldHdlZW4gNiBhbmQgNzogaW5kZXBlbmRlbnQgUUEgcmV2aWV3LCB0aGVuIHRoZSByZWxlYXNlIGdhdGUgKHRoZSBvbmx5IGRlY2lzaW9uIGVsZW1lbnQpIC0tPgogICAgICAgIDxyZWN0IHg9IjY0MyIgeT0iMzAiIHdpZHRoPSI4OCIgaGVpZ2h0PSI1MCIgY2xhc3M9Im4tZ2VuZXJpYyIgcng9IjQiPjwvcmVjdD4KICAgICAgICA8dGV4dCB4PSI2ODciIHk9IjQ4IiB0ZXh0LWFuY2hvcj0ibWlkZGxlIiBjbGFzcz0ibm9kZS1sYWJlbCBhbmNob3IiPlFBIHJldmlldzx0c3BhbiB4PSI2ODciIGR5PSIxNCIgY2xhc3M9Im5vZGUtZGVzYyI+cmVjb21tZW5kZWQ8L3RzcGFuPjx0c3BhbiB4PSI2ODciIGR5PSIxMiIgY2xhc3M9Im5vZGUtZGVzYyI+QVEtUlYxPC90c3Bhbj48L3RleHQ+CgogICAgICAgIDxwYXRoIGQ9Ik02ODcsODAgTDY4NywxNDQiIGNsYXNzPSJlZGdlIiBtYXJrZXItZW5kPSJ1cmwoI2ZpZy10Zy0zLTE2LTEtcWFxYy1sYXllcnMtYXJyb3cpIj48L3BhdGg+CgogICAgICAgIDxyZWN0IHg9IjY0MyIgeT0iMTQ2IiB3aWR0aD0iODgiIGhlaWdodD0iMTE2IiBjbGFzcz0ibi1kZWNpc2lvbiIgcng9IjQiPjwvcmVjdD4KICAgICAgICA8dGV4dCB4PSI2ODciIHk9IjE5MCIgdGV4dC1hbmNob3I9Im1pZGRsZSIgY2xhc3M9Im5vZGUtbGFiZWwgYW5jaG9yIj5SZWxlYXNlIGdhdGU8dHNwYW4geD0iNjg3IiBkeT0iMTUiIGNsYXNzPSJub2RlLWRlc2MiPlRHLTAuNzsgQVEtUlYzPC90c3Bhbj48dHNwYW4geD0iNjg3IiBkeT0iMTMiIGNsYXNzPSJub2RlLWRlc2MiPnNpZ25lZCBieSB0aGU8L3RzcGFuPjx0c3BhbiB4PSI2ODciIGR5PSIxMiIgY2xhc3M9Im5vZGUtZGVzYyI+c3RhdGlzdGljYWwgb3duZXI8L3RzcGFuPjwvdGV4dD4KCiAgICAgICAgPCEtLSBQaGFzZSA3OiBEaXNzZW1pbmF0ZSAtLT4KICAgICAgICA8cmVjdCB4PSI3MzUiIHk9IjE0NiIgd2lkdGg9IjEwMCIgaGVpZ2h0PSI1MCIgY2xhc3M9Im4tZ2VuZXJpYyIgcng9IjQiPjwvcmVjdD4KICAgICAgICA8dGV4dCB4PSI3ODUiIHk9IjE2NCIgdGV4dC1hbmNob3I9Im1pZGRsZSIgY2xhc3M9Im5vZGUtbGFiZWwgYW5jaG9yIj5Eb2N1bWVudGF0aW9uPHRzcGFuIHg9Ijc4NSIgZHk9IjE0IiBjbGFzcz0ibm9kZS1kZXNjIj5BUS1SVjI8L3RzcGFuPjx0c3BhbiB4PSI3ODUiIGR5PSIxMiIgY2xhc3M9Im5vZGUtZGVzYyI+ZXZpZGVuY2UgcGFjazwvdHNwYW4+PC90ZXh0PgoKICAgICAgICA8IS0tIFBoYXNlIDg6IEV2YWx1YXRlIC0tPgogICAgICAgIDxyZWN0IHg9IjgzOSIgeT0iODgiIHdpZHRoPSI4NiIgaGVpZ2h0PSI1MCIgY2xhc3M9Im4tZ2VuZXJpYyIgcng9IjQiPjwvcmVjdD4KICAgICAgICA8dGV4dCB4PSI4ODIiIHk9IjEwNiIgdGV4dC1hbmNob3I9Im1pZGRsZSIgY2xhc3M9Im5vZGUtbGFiZWwgYW5jaG9yIj5UaWVyIHBsYW48dHNwYW4geD0iODgyIiBkeT0iMTQiIGNsYXNzPSJub2RlLWRlc2MiPnByb2dyZXNzaW9uIGZvcjwvdHNwYW4+PHRzcGFuIHg9Ijg4MiIgZHk9IjEyIiBjbGFzcz0ibm9kZS1kZXNjIj50aGUgbmV4dCBjeWNsZTwvdHNwYW4+PC90ZXh0PgoKICAgICAgICA8cmVjdCB4PSI4MzkiIHk9IjE0NiIgd2lkdGg9Ijg2IiBoZWlnaHQ9IjUwIiBjbGFzcz0ibi1nZW5lcmljIiByeD0iNCI+PC9yZWN0PgogICAgICAgIDx0ZXh0IHg9Ijg4MiIgeT0iMTY3IiB0ZXh0LWFuY2hvcj0ibWlkZGxlIiBjbGFzcz0ibm9kZS1sYWJlbCBhbmNob3IiPkFyY2hpdmU8dHNwYW4geD0iODgyIiBkeT0iMTUiIGNsYXNzPSJub2RlLWRlc2MiPkFRLVJWMzwvdHNwYW4+PC90ZXh0PgoKICAgICAgICA8IS0tID09PT09IEdTQlBNIHY1LjIgUEhBU0UgQkFORCA9PT09PSAtLT4KICAgICAgICA8cmVjdCB4PSIxMSIgeT0iMjE0IiB3aWR0aD0iNjgiIGhlaWdodD0iNDgiIGNsYXNzPSJuLWFuY2hvciIgcng9IjQiPjwvcmVjdD4KICAgICAgICA8dGV4dCB4PSI0NSIgeT0iMjMzIiB0ZXh0LWFuY2hvcj0ibWlkZGxlIiBjbGFzcz0ibm9kZS1sYWJlbCBhbmNob3IiPjEgU3BlY2lmeTx0c3BhbiB4PSI0NSIgZHk9IjE1Ij5uZWVkczwvdHNwYW4+PC90ZXh0PgoKICAgICAgICA8cmVjdCB4PSI4MyIgeT0iMjE0IiB3aWR0aD0iODgiIGhlaWdodD0iNDgiIGNsYXNzPSJuLWFuY2hvciIgcng9IjQiPjwvcmVjdD4KICAgICAgICA8dGV4dCB4PSIxMjciIHk9IjI0MiIgdGV4dC1hbmNob3I9Im1pZGRsZSIgY2xhc3M9Im5vZGUtbGFiZWwgYW5jaG9yIj4yIERlc2lnbjwvdGV4dD4KCiAgICAgICAgPHJlY3QgeD0iMTc1IiB5PSIyMTQiIHdpZHRoPSI4OCIgaGVpZ2h0PSI0OCIgY2xhc3M9Im4tYW5jaG9yIiByeD0iNCI+PC9yZWN0PgogICAgICAgIDx0ZXh0IHg9IjIxOSIgeT0iMjQyIiB0ZXh0LWFuY2hvcj0ibWlkZGxlIiBjbGFzcz0ibm9kZS1sYWJlbCBhbmNob3IiPjMgQnVpbGQ8L3RleHQ+CgogICAgICAgIDxyZWN0IHg9IjI2NyIgeT0iMjE0IiB3aWR0aD0iODQiIGhlaWdodD0iNDgiIGNsYXNzPSJuLWFuY2hvciIgcng9IjQiPjwvcmVjdD4KICAgICAgICA8dGV4dCB4PSIzMDkiIHk9IjI0MiIgdGV4dC1hbmNob3I9Im1pZGRsZSIgY2xhc3M9Im5vZGUtbGFiZWwgYW5jaG9yIj40IENvbGxlY3Q8L3RleHQ+CgogICAgICAgIDxyZWN0IHg9IjM1NSIgeT0iMjE0IiB3aWR0aD0iMTQwIiBoZWlnaHQ9IjQ4IiBjbGFzcz0ibi1hbmNob3IiIHJ4PSI0Ij48L3JlY3Q+CiAgICAgICAgPHRleHQgeD0iNDI1IiB5PSIyMzQiIHRleHQtYW5jaG9yPSJtaWRkbGUiIGNsYXNzPSJub2RlLWxhYmVsIGFuY2hvciI+NSBQcm9jZXNzPHRzcGFuIHg9IjQyNSIgZHk9IjE1IiBjbGFzcz0ibm9kZS1kZXNjIj41LjMgcmV2aWV3IGFuZCB2YWxpZGF0ZTwvdHNwYW4+PC90ZXh0PgoKICAgICAgICA8cmVjdCB4PSI0OTkiIHk9IjIxNCIgd2lkdGg9IjE0MCIgaGVpZ2h0PSI0OCIgY2xhc3M9Im4tYW5jaG9yIiByeD0iNCI+PC9yZWN0PgogICAgICAgIDx0ZXh0IHg9IjU2OSIgeT0iMjM0IiB0ZXh0LWFuY2hvcj0ibWlkZGxlIiBjbGFzcz0ibm9kZS1sYWJlbCBhbmNob3IiPjYgQW5hbHlzZTx0c3BhbiB4PSI1NjkiIGR5PSIxNSIgY2xhc3M9Im5vZGUtZGVzYyI+Ni4yIHZhbGlkYXRlIG91dHB1dHM8L3RzcGFuPjwvdGV4dD4KCiAgICAgICAgPHJlY3QgeD0iNzM1IiB5PSIyMTQiIHdpZHRoPSIxMDAiIGhlaWdodD0iNDgiIGNsYXNzPSJuLWFuY2hvciIgcng9IjQiPjwvcmVjdD4KICAgICAgICA8dGV4dCB4PSI3ODUiIHk9IjI0MiIgdGV4dC1hbmNob3I9Im1pZGRsZSIgY2xhc3M9Im5vZGUtbGFiZWwgYW5jaG9yIj43IERpc3NlbWluYXRlPC90ZXh0PgoKICAgICAgICA8cmVjdCB4PSI4MzkiIHk9IjIxNCIgd2lkdGg9Ijg2IiBoZWlnaHQ9IjQ4IiBjbGFzcz0ibi1hbmNob3IiIHJ4PSI0Ij48L3JlY3Q+CiAgICAgICAgPHRleHQgeD0iODgyIiB5PSIyNDIiIHRleHQtYW5jaG9yPSJtaWRkbGUiIGNsYXNzPSJub2RlLWxhYmVsIGFuY2hvciI+OCBFdmFsdWF0ZTwvdGV4dD4KCiAgICAgICAgPCEtLSA9PT09PSBXSE8gUlVOUyBFQUNIIEtJTkQgT0YgQ0hFQ0sgPT09PT0gLS0+CiAgICAgICAgPHRleHQgeD0iMTUiIHk9IjI4MiIgY2xhc3M9ImFubm90YXRpb24iPkdTQlBNIHY1LjIgcGhhc2VzLiBCZWxvdzogd2hvIHBlcmZvcm1zIGVhY2gga2luZCBvZiBjaGVjazwvdGV4dD4KCiAgICAgICAgPCEtLSBRQzogY29tcGlsZXJzLCBwaGFzZXMgMyB0byA2IC0tPgogICAgICAgIDxyZWN0IHg9IjE3NSIgeT0iMjkyIiB3aWR0aD0iNDY0IiBoZWlnaHQ9IjIyIiBjbGFzcz0ibi1wcm9jZXNzIiByeD0iNCI+PC9yZWN0PgogICAgICAgIDx0ZXh0IHg9IjQwNyIgeT0iMzA3IiB0ZXh0LWFuY2hvcj0ibWlkZGxlIiBjbGFzcz0ibm9kZS1sYWJlbCI+PHRzcGFuIGZvbnQtd2VpZ2h0PSI2MDAiPlFDPC90c3Bhbj4gLS0gdGhlIGNvbXBpbGVycywgcm91dGluZWx5LCBkdXJpbmcgY29tcGlsYXRpb24gKHBoYXNlcyAzIHRvIDYpPC90ZXh0PgoKICAgICAgICA8IS0tIFFBOiBwZW9wbGUgbm90IGludm9sdmVkIGluIGNvbXBpbGF0aW9uLCBlbmQgb2YgcGhhc2UgNiB0byB0aGUgZ2F0ZSAtLT4KICAgICAgICA8dGV4dCB4PSI1NjEiIHk9IjMzNSIgdGV4dC1hbmNob3I9ImVuZCIgY2xhc3M9Im5vdGUtdGV4dCI+cGVvcGxlIG5vdCBpbnZvbHZlZCBpbiBjb21waWxpbmcgdGhlIGFjY291bnQ6IHJlY29tcHV0ZSBhIHNhbXBsZSBhbmQgcmV2aWV3IHRoZSBldmlkZW5jZSBwYWNrPC90ZXh0PgogICAgICAgIDxyZWN0IHg9IjU2OSIgeT0iMzIwIiB3aWR0aD0iMTYyIiBoZWlnaHQ9IjIyIiBjbGFzcz0ibi1nZW5lcmljIiByeD0iNCI+PC9yZWN0PgogICAgICAgIDx0ZXh0IHg9IjY1MCIgeT0iMzM1IiB0ZXh0LWFuY2hvcj0ibWlkZGxlIiBjbGFzcz0ibm9kZS1sYWJlbCI+PHRzcGFuIGZvbnQtd2VpZ2h0PSI2MDAiPlFBPC90c3Bhbj4gLS0gZW5kIG9mIHBoYXNlIDY8L3RleHQ+CgogICAgICAgIDwhLS0gVmVyaWZpY2F0aW9uOiBpbmRlcGVuZGVudCBkYXRhLCBwaGFzZSA2IC0tPgogICAgICAgIDx0ZXh0IHg9IjQ5MSIgeT0iMzYzIiB0ZXh0LWFuY2hvcj0iZW5kIiBjbGFzcz0ibm90ZS10ZXh0Ij5pbmRlcGVuZGVudCBkYXRhIC0tIGdsb2JhbCBwcm9kdWN0cywgb3RoZXIgYXNzZXNzbWVudHMsIG5laWdoYm91cmluZyBhY2NvdW50czwvdGV4dD4KICAgICAgICA8cmVjdCB4PSI0OTkiIHk9IjM0OCIgd2lkdGg9IjE0MCIgaGVpZ2h0PSIyMiIgY2xhc3M9Im4tZXh0ZXJuYWwiIHJ4PSI0Ij48L3JlY3Q+CiAgICAgICAgPHRleHQgeD0iNTY5IiB5PSIzNjMiIHRleHQtYW5jaG9yPSJtaWRkbGUiIGNsYXNzPSJub2RlLWxhYmVsIj48dHNwYW4gZm9udC13ZWlnaHQ9IjYwMCI+VmVyaWZpY2F0aW9uPC90c3Bhbj4gLS0gcGhhc2UgNjwvdGV4dD4KCiAgICAgICAgPCEtLSA9PT09PSBUSFJFRSBMQVlFUlMgT0YgUlVMRVMgPT09PT0gLS0+CiAgICAgICAgPHRleHQgeD0iMTUiIHk9IjQwMCIgY2xhc3M9Imdyb3VwLWxhYmVsIj5XaGVyZSB0aGUgcnVsZXMgYXJlIHdyaXR0ZW48L3RleHQ+CgogICAgICAgIDxyZWN0IHg9IjE1IiB5PSI0MTAiIHdpZHRoPSI2ODUiIGhlaWdodD0iMzgiIGNsYXNzPSJuLWFuY2hvciIgcng9IjQiPjwvcmVjdD4KICAgICAgICA8dGV4dCB4PSIyOSIgeT0iNDI2IiBjbGFzcz0ibm9kZS1sYWJlbCBhbmNob3IiPlRHLTAuNyBQcmluY2lwbGVzIGFuZCBnZW5lcmljIFFDIGNvcmU8dHNwYW4geD0iMjkiIGR5PSIxNCIgY2xhc3M9Im5vZGUtZGVzYyI+UXVhbGl0eSBkaW1lbnNpb25zLCB1bmNlcnRhaW50eSBhbmQgZmxhZ3M7IHRoZSBRQS9RQyBwbGFuLCByZXZpZXcsIGFyY2hpdmUgYW5kIHJlbGVhc2UgZ2F0ZSAtLSB3cml0dGVuIG9uY2UsIGZvciBldmVyeSBhY2NvdW50PC90c3Bhbj48L3RleHQ+CgogICAgICAgIDxwYXRoIGQ9Ik0yNSw0NDggTDI1LDQ3OSBMMzcsNDc5IiBjbGFzcz0iZWRnZSIgbWFya2VyLWVuZD0idXJsKCNmaWctdGctMy0xNi0xLXFhcWMtbGF5ZXJzLWFycm93KSI+PC9wYXRoPgogICAgICAgIDxyZWN0IHg9IjM5IiB5PSI0NjAiIHdpZHRoPSI2NjEiIGhlaWdodD0iMzgiIGNsYXNzPSJuLWFuY2hvciIgcng9IjQiPjwvcmVjdD4KICAgICAgICA8dGV4dCB4PSI1MyIgeT0iNDc2IiBjbGFzcz0ibm9kZS1sYWJlbCBhbmNob3IiPlRHLTMuMTYgQ2F0ZWdvcnkgUUMgZm9yIGFzc2V0IGFjY291bnRzPHRzcGFuIHg9IjUzIiBkeT0iMTQiIGNsYXNzPSJub2RlLWRlc2MiPkNoZWNrcywgdG9sZXJhbmNlcyBhbmQgZXZpZGVuY2UgZm9yIGV4dGVudCwgY29uZGl0aW9uLCBzdG9ja3MgYW5kIHZhbHVlcyAtLSB0aGUgZmFtaWxpZXMgc2hvd24gYWJvdmU8L3RzcGFuPjwvdGV4dD4KCiAgICAgICAgPHBhdGggZD0iTTQ5LDQ5OCBMNDksNTI5IEw2MSw1MjkiIGNsYXNzPSJlZGdlIiBtYXJrZXItZW5kPSJ1cmwoI2ZpZy10Zy0zLTE2LTEtcWFxYy1sYXllcnMtYXJyb3cpIj48L3BhdGg+CiAgICAgICAgPHJlY3QgeD0iNjMiIHk9IjUxMCIgd2lkdGg9IjYzNyIgaGVpZ2h0PSIzOCIgY2xhc3M9Im4tYW5jaG9yIiByeD0iNCI+PC9yZWN0PgogICAgICAgIDx0ZXh0IHg9Ijc3IiB5PSI1MjYiIGNsYXNzPSJub2RlLWxhYmVsIGFuY2hvciI+VEctMy4xIGFuZCB0aGUgU2VjdGlvbiA2IGNpcmN1bGFyczx0c3BhbiB4PSI3NyIgZHk9IjE0IiBjbGFzcz0ibm9kZS1kZXNjIj5UaGVpciBvd24gY29tcGlsYXRpb24gcnVsZXMsIHBsdXMgdGhlIGNoZWNrcyBkaXN0aW5jdGl2ZSB0byBlYWNoIGFzc2V0IHR5cGU8L3RzcGFuPjwvdGV4dD4KCiAgICAgICAgPCEtLSBJUENDIHByYWN0aWNlIG5vdGUgLS0+CiAgICAgICAgPHJlY3QgeD0iNzE2IiB5PSI0MTAiIHdpZHRoPSIyMDkiIGhlaWdodD0iMTM4IiBjbGFzcz0iZ3JvdXAtcmVjdCIgcng9IjQiPjwvcmVjdD4KICAgICAgICA8dGV4dCB4PSI3MzAiIHk9IjQzMiIgY2xhc3M9Im5vdGUtaGVhZCI+QXMgaW4gSVBDQyBwcmFjdGljZTwvdGV4dD4KICAgICAgICA8dGV4dCB4PSI3MzAiIHk9IjQ1NCIgY2xhc3M9Im5vdGUtdGV4dCI+R2VuZXJhbCBRQyBwcm9jZWR1cmVzIGFyZTwvdGV4dD4KICAgICAgICA8dGV4dCB4PSI3MzAiIHk9IjQ3MCIgY2xhc3M9Im5vdGUtdGV4dCI+d3JpdHRlbiBvbmNlICgyMDA2IEd1aWRlbGluZXMsPC90ZXh0PgogICAgICAgIDx0ZXh0IHg9IjczMCIgeT0iNDg2IiBjbGFzcz0ibm90ZS10ZXh0Ij5Wb2wuIDEsIENoLiA2KS48L3RleHQ+CiAgICAgICAgPHRleHQgeD0iNzMwIiB5PSI1MDgiIGNsYXNzPSJub3RlLXRleHQiPkNhdGVnb3J5LXNwZWNpZmljIHByb2NlZHVyZXM8L3RleHQ+CiAgICAgICAgPHRleHQgeD0iNzMwIiB5PSI1MjQiIGNsYXNzPSJub3RlLXRleHQiPnNpdCB3aXRoIHRoZSBjYXRlZ29yeSB0aGV5PC90ZXh0PgogICAgICAgIDx0ZXh0IHg9IjczMCIgeT0iNTQwIiBjbGFzcz0ibm90ZS10ZXh0Ij5jaGVjay48L3RleHQ+CgogICAgICAgIDwhLS0gPT09PT0gTEVHRU5EID09PT09IC0tPgogICAgICAgIDxyZWN0IHg9IjE1IiB5PSI1NzQiIHdpZHRoPSIxNiIgaGVpZ2h0PSIxMiIgY2xhc3M9Im4tYW5jaG9yIiByeD0iMiI+PC9yZWN0PgogICAgICAgIDx0ZXh0IHg9IjM3IiB5PSI1ODQiIGNsYXNzPSJsZWdlbmQtbGFiZWwiPkdTQlBNIHBoYXNlIG9yIGd1aWRhbmNlIGxheWVyPC90ZXh0PgogICAgICAgIDxyZWN0IHg9IjIxNSIgeT0iNTc0IiB3aWR0aD0iMTYiIGhlaWdodD0iMTIiIGNsYXNzPSJuLXByb2Nlc3MiIHJ4PSIyIj48L3JlY3Q+CiAgICAgICAgPHRleHQgeD0iMjM3IiB5PSI1ODQiIGNsYXNzPSJsZWdlbmQtbGFiZWwiPlFDIGJ5IGNvbXBpbGVyczwvdGV4dD4KICAgICAgICA8cmVjdCB4PSIzNDUiIHk9IjU3NCIgd2lkdGg9IjE2IiBoZWlnaHQ9IjEyIiBjbGFzcz0ibi1nZW5lcmljIiByeD0iMiI+PC9yZWN0PgogICAgICAgIDx0ZXh0IHg9IjM2NyIgeT0iNTg0IiBjbGFzcz0ibGVnZW5kLWxhYmVsIj5QbGFuLCBRQSBhbmQgcmVjb3JkczwvdGV4dD4KICAgICAgICA8cmVjdCB4PSI1MDAiIHk9IjU3NCIgd2lkdGg9IjE2IiBoZWlnaHQ9IjEyIiBjbGFzcz0ibi1leHRlcm5hbCIgcng9IjIiPjwvcmVjdD4KICAgICAgICA8dGV4dCB4PSI1MjIiIHk9IjU4NCIgY2xhc3M9ImxlZ2VuZC1sYWJlbCI+VmVyaWZpY2F0aW9uIChpbmRlcGVuZGVudCBkYXRhKTwvdGV4dD4KICAgICAgICA8cmVjdCB4PSI3MDUiIHk9IjU3NCIgd2lkdGg9IjE2IiBoZWlnaHQ9IjEyIiBjbGFzcz0ibi1kZWNpc2lvbiIgcng9IjIiPjwvcmVjdD4KICAgICAgICA8dGV4dCB4PSI3MjciIHk9IjU4NCIgY2xhc3M9ImxlZ2VuZC1sYWJlbCI+UmVsZWFzZSBnYXRlIChkZWNpc2lvbik8L3RleHQ+CiAgICAgID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3.16.1</w:t>
            </w:r>
            <w:r>
              <w:rPr>
                <w:lang w:val="en"/>
              </w:rPr>
              <w:t xml:space="preserve"> </w:t>
            </w:r>
            <w:r>
              <w:rPr>
                <w:lang w:val="en"/>
              </w:rPr>
              <w:t xml:space="preserve">QC runs inside compilation; QA and verification sit at its end, and the release gate closes it. General rules are written once in TG-0.7, asset-account checks in TG-3.16, and distinctive checks in the owning circulars, as IPCC practice does. Check families are shown, not individual checks.</w:t>
            </w:r>
            <w:r>
              <w:rPr>
                <w:lang w:val="en"/>
              </w:rPr>
              <w:t xml:space="preserve"> </w:t>
            </w:r>
            <w:r>
              <w:rPr>
                <w:lang w:val="en"/>
              </w:rPr>
              <w:t xml:space="preserve">Source:</w:t>
            </w:r>
            <w:r>
              <w:rPr>
                <w:lang w:val="en"/>
              </w:rPr>
              <w:t xml:space="preserve"> </w:t>
            </w:r>
            <w:r>
              <w:rPr>
                <w:lang w:val="en"/>
              </w:rPr>
              <w:t xml:space="preserve">IPCC (2006) 2006 IPCC Guidelines, Vol. 1, Ch. 6, Box 6.1 and Sections 6.5–6.10; UNECE GSBPM v5.2, sub-processes 5.3 and 6.2; TG-3.16.</w:t>
            </w:r>
            <w:r>
              <w:rPr>
                <w:lang w:val="en"/>
              </w:rPr>
              <w:t xml:space="preserve"> </w:t>
            </w:r>
            <w:r>
              <w:rPr>
                <w:lang w:val="en"/>
              </w:rPr>
              <w:t xml:space="preserve">Note:</w:t>
            </w:r>
            <w:r>
              <w:rPr>
                <w:lang w:val="en"/>
              </w:rPr>
              <w:t xml:space="preserve"> </w:t>
            </w:r>
            <w:r>
              <w:rPr>
                <w:lang w:val="en"/>
              </w:rPr>
              <w:t xml:space="preserve">Check identifiers carry the prefix AQ- (asset QC); a family such as AQ-ID groups the numbered checks of Tables 3.16.4 and 3.16.5. The tiers of Section 3.2 set which checks are the minimum.</w:t>
            </w:r>
          </w:p>
        </w:tc>
      </w:tr>
    </w:tbl>
    <w:p>
      <w:pPr>
        <w:pStyle w:val="BodyText"/>
      </w:pPr>
      <w:r>
        <w:rPr>
          <w:lang w:val="en"/>
        </w:rPr>
        <w:t xml:space="preserve">¶8</w:t>
      </w:r>
      <w:r>
        <w:rPr>
          <w:lang w:val="en"/>
        </w:rPr>
        <w:t xml:space="preserve"> </w:t>
      </w:r>
      <w:r>
        <w:rPr>
          <w:lang w:val="en"/>
        </w:rPr>
        <w:t xml:space="preserve">Check identifiers carry the prefix</w:t>
      </w:r>
      <w:r>
        <w:rPr>
          <w:lang w:val="en"/>
        </w:rPr>
        <w:t xml:space="preserve"> </w:t>
      </w:r>
      <w:r>
        <w:rPr>
          <w:bCs/>
          <w:b/>
          <w:lang w:val="en"/>
        </w:rPr>
        <w:t xml:space="preserve">AQ-</w:t>
      </w:r>
      <w:r>
        <w:rPr>
          <w:lang w:val="en"/>
        </w:rPr>
        <w:t xml:space="preserve"> </w:t>
      </w:r>
      <w:r>
        <w:rPr>
          <w:lang w:val="en"/>
        </w:rPr>
        <w:t xml:space="preserve">(asset QC), so a QC log can cite</w:t>
      </w:r>
      <w:r>
        <w:rPr>
          <w:lang w:val="en"/>
        </w:rPr>
        <w:t xml:space="preserve"> </w:t>
      </w:r>
      <w:r>
        <w:rPr>
          <w:iCs/>
          <w:i/>
          <w:lang w:val="en"/>
        </w:rPr>
        <w:t xml:space="preserve">AQ-ID3</w:t>
      </w:r>
      <w:r>
        <w:rPr>
          <w:lang w:val="en"/>
        </w:rPr>
        <w:t xml:space="preserve"> </w:t>
      </w:r>
      <w:r>
        <w:rPr>
          <w:lang w:val="en"/>
        </w:rPr>
        <w:t xml:space="preserve">without ambiguity against another circular’s numbering.</w:t>
      </w:r>
    </w:p>
    <w:bookmarkStart w:id="70" w:name="X9fc7e92b158be7a6f9a652e789a2cd86705902d"/>
    <w:p>
      <w:pPr>
        <w:pStyle w:val="Heading3"/>
      </w:pPr>
      <w:r>
        <w:rPr>
          <w:lang w:val="en"/>
        </w:rPr>
        <w:t xml:space="preserve">3.2</w:t>
      </w:r>
      <w:r>
        <w:rPr>
          <w:lang w:val="en"/>
        </w:rPr>
        <w:t xml:space="preserve"> </w:t>
      </w:r>
      <w:r>
        <w:rPr>
          <w:lang w:val="en"/>
        </w:rPr>
        <w:t xml:space="preserve">QA/QC Plan and Data-Quality Objectives</w:t>
      </w:r>
    </w:p>
    <w:p>
      <w:pPr>
        <w:pStyle w:val="FirstParagraph"/>
      </w:pPr>
      <w:hyperlink w:anchor="X9fc7e92b158be7a6f9a652e789a2cd86705902d">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QA/QC Plan and Data-Quality Objectives”</w:t>
        </w:r>
      </w:hyperlink>
    </w:p>
    <w:bookmarkEnd w:id="70"/>
    <w:p>
      <w:pPr>
        <w:pStyle w:val="BodyText"/>
      </w:pPr>
      <w:r>
        <w:rPr>
          <w:lang w:val="en"/>
        </w:rPr>
        <w:t xml:space="preserve">¶1</w:t>
      </w:r>
      <w:r>
        <w:rPr>
          <w:lang w:val="en"/>
        </w:rPr>
        <w:t xml:space="preserve"> </w:t>
      </w:r>
      <w:r>
        <w:drawing>
          <wp:inline>
            <wp:extent cx="152400" cy="152400"/>
            <wp:effectExtent b="0" l="0" r="0" t="0"/>
            <wp:docPr descr="" title="" id="7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Generic QC core, carried here for consultation</w:t>
      </w:r>
    </w:p>
    <w:p>
      <w:pPr>
        <w:pStyle w:val="BodyText"/>
      </w:pPr>
      <w:r>
        <w:rPr>
          <w:lang w:val="en"/>
        </w:rPr>
        <w:t xml:space="preserve">¶2</w:t>
      </w:r>
      <w:r>
        <w:rPr>
          <w:lang w:val="en"/>
        </w:rPr>
        <w:t xml:space="preserve"> </w:t>
      </w:r>
      <w:r>
        <w:rPr>
          <w:lang w:val="en"/>
        </w:rPr>
        <w:t xml:space="preserve">The plan, the roles, the records, QC intensity (this section), independent review, the archive, the release gate and the generic evidence pack (Section 3.10), and the uncertainty ladder (Section 3.9) apply to every ocean account, not only to asset accounts. They are set out here so that this Circular can be read and used on its own during the consultation. After the consultation closes they move to</w:t>
      </w:r>
      <w:r>
        <w:rPr>
          <w:lang w:val="en"/>
        </w:rPr>
        <w:t xml:space="preserve"> </w:t>
      </w:r>
      <w:hyperlink r:id="rId37">
        <w:r>
          <w:rPr>
            <w:rStyle w:val="Hyperlink"/>
            <w:bCs/>
            <w:b/>
            <w:lang w:val="en"/>
          </w:rPr>
          <w:t xml:space="preserve">TG-0.7</w:t>
        </w:r>
      </w:hyperlink>
      <w:r>
        <w:rPr>
          <w:lang w:val="en"/>
        </w:rPr>
        <w:t xml:space="preserve">, and this Circular will keep only the asset-account application. Comments on where this core should sit are welcome.</w:t>
      </w:r>
    </w:p>
    <w:p>
      <w:pPr>
        <w:pStyle w:val="BodyText"/>
      </w:pPr>
      <w:r>
        <w:rPr>
          <w:lang w:val="en"/>
        </w:rPr>
        <w:t xml:space="preserve">¶3</w:t>
      </w:r>
      <w:r>
        <w:rPr>
          <w:lang w:val="en"/>
        </w:rPr>
        <w:t xml:space="preserve"> </w:t>
      </w:r>
      <w:r>
        <w:rPr>
          <w:lang w:val="en"/>
        </w:rPr>
        <w:t xml:space="preserve">A QA/QC plan is written before compilation starts and names the checks, who runs them and when, the independent reviewer, the release gate, the tolerance register and the data-quality objectives</w:t>
      </w:r>
      <w:hyperlink w:anchor="user-content-fn-1">
        <w:r>
          <w:rPr>
            <w:rStyle w:val="Hyperlink"/>
            <w:vertAlign w:val="superscript"/>
            <w:lang w:val="en"/>
          </w:rPr>
          <w:t xml:space="preserve">1</w:t>
        </w:r>
      </w:hyperlink>
      <w:r>
        <w:rPr>
          <w:lang w:val="en"/>
        </w:rPr>
        <w:t xml:space="preserve">. It is the document a reviewer reads first, and it is what TG-0.8’s checklist item 8 asks an institution to have adopted. For an asset account the plan also says what each data-quality objective means for assets, which checks each tier runs, and which parameters the parameter register holds (Section 3.3).</w:t>
      </w:r>
    </w:p>
    <w:p>
      <w:pPr>
        <w:pStyle w:val="BodyText"/>
      </w:pPr>
      <w:r>
        <w:rPr>
          <w:lang w:val="en"/>
        </w:rPr>
        <w:t xml:space="preserve">¶4</w:t>
      </w:r>
      <w:r>
        <w:rPr>
          <w:lang w:val="en"/>
        </w:rPr>
        <w:t xml:space="preserve"> </w:t>
      </w:r>
      <w:r>
        <w:rPr>
          <w:bCs/>
          <w:b/>
          <w:lang w:val="en"/>
        </w:rPr>
        <w:t xml:space="preserve">Roles.</w:t>
      </w:r>
      <w:r>
        <w:rPr>
          <w:lang w:val="en"/>
        </w:rPr>
        <w:t xml:space="preserve"> </w:t>
      </w:r>
      <w:r>
        <w:rPr>
          <w:lang w:val="en"/>
        </w:rPr>
        <w:t xml:space="preserve">Six roles carry the plan. One person may hold several in a small office, with one exception: the independent reviewer may not also be a compiler.</w:t>
      </w:r>
    </w:p>
    <w:p>
      <w:pPr>
        <w:numPr>
          <w:ilvl w:val="0"/>
          <w:numId w:val="1006"/>
        </w:numPr>
        <w:pStyle w:val="Compact"/>
      </w:pPr>
      <w:r>
        <w:rPr>
          <w:lang w:val="en"/>
        </w:rPr>
        <w:t xml:space="preserve">¶5</w:t>
      </w:r>
      <w:r>
        <w:rPr>
          <w:lang w:val="en"/>
        </w:rPr>
        <w:t xml:space="preserve"> </w:t>
      </w:r>
      <w:r>
        <w:rPr>
          <w:bCs/>
          <w:b/>
          <w:lang w:val="en"/>
        </w:rPr>
        <w:t xml:space="preserve">Compiler</w:t>
      </w:r>
      <w:r>
        <w:rPr>
          <w:lang w:val="en"/>
        </w:rPr>
        <w:t xml:space="preserve">: runs every QC check in Sections 3.4 to 3.7 and keeps the QC log.</w:t>
      </w:r>
    </w:p>
    <w:p>
      <w:pPr>
        <w:numPr>
          <w:ilvl w:val="0"/>
          <w:numId w:val="1006"/>
        </w:numPr>
        <w:pStyle w:val="Compact"/>
      </w:pPr>
      <w:r>
        <w:rPr>
          <w:lang w:val="en"/>
        </w:rPr>
        <w:t xml:space="preserve">¶6</w:t>
      </w:r>
      <w:r>
        <w:rPr>
          <w:lang w:val="en"/>
        </w:rPr>
        <w:t xml:space="preserve"> </w:t>
      </w:r>
      <w:r>
        <w:rPr>
          <w:bCs/>
          <w:b/>
          <w:lang w:val="en"/>
        </w:rPr>
        <w:t xml:space="preserve">Data manager</w:t>
      </w:r>
      <w:r>
        <w:rPr>
          <w:lang w:val="en"/>
        </w:rPr>
        <w:t xml:space="preserve">: keeps the source register, metadata, archive and version control.</w:t>
      </w:r>
    </w:p>
    <w:p>
      <w:pPr>
        <w:numPr>
          <w:ilvl w:val="0"/>
          <w:numId w:val="1006"/>
        </w:numPr>
        <w:pStyle w:val="Compact"/>
      </w:pPr>
      <w:r>
        <w:rPr>
          <w:lang w:val="en"/>
        </w:rPr>
        <w:t xml:space="preserve">¶7</w:t>
      </w:r>
      <w:r>
        <w:rPr>
          <w:lang w:val="en"/>
        </w:rPr>
        <w:t xml:space="preserve"> </w:t>
      </w:r>
      <w:r>
        <w:rPr>
          <w:bCs/>
          <w:b/>
          <w:lang w:val="en"/>
        </w:rPr>
        <w:t xml:space="preserve">QA/QC coordinator</w:t>
      </w:r>
      <w:r>
        <w:rPr>
          <w:lang w:val="en"/>
        </w:rPr>
        <w:t xml:space="preserve">: owns the plan, schedules the reviews and keeps the issue register.</w:t>
      </w:r>
    </w:p>
    <w:p>
      <w:pPr>
        <w:numPr>
          <w:ilvl w:val="0"/>
          <w:numId w:val="1006"/>
        </w:numPr>
        <w:pStyle w:val="Compact"/>
      </w:pPr>
      <w:r>
        <w:rPr>
          <w:lang w:val="en"/>
        </w:rPr>
        <w:t xml:space="preserve">¶8</w:t>
      </w:r>
      <w:r>
        <w:rPr>
          <w:lang w:val="en"/>
        </w:rPr>
        <w:t xml:space="preserve"> </w:t>
      </w:r>
      <w:r>
        <w:rPr>
          <w:bCs/>
          <w:b/>
          <w:lang w:val="en"/>
        </w:rPr>
        <w:t xml:space="preserve">Independent reviewer</w:t>
      </w:r>
      <w:r>
        <w:rPr>
          <w:lang w:val="en"/>
        </w:rPr>
        <w:t xml:space="preserve">: not involved in compilation (AQ-RV1).</w:t>
      </w:r>
    </w:p>
    <w:p>
      <w:pPr>
        <w:numPr>
          <w:ilvl w:val="0"/>
          <w:numId w:val="1006"/>
        </w:numPr>
        <w:pStyle w:val="Compact"/>
      </w:pPr>
      <w:r>
        <w:rPr>
          <w:lang w:val="en"/>
        </w:rPr>
        <w:t xml:space="preserve">¶9</w:t>
      </w:r>
      <w:r>
        <w:rPr>
          <w:lang w:val="en"/>
        </w:rPr>
        <w:t xml:space="preserve"> </w:t>
      </w:r>
      <w:r>
        <w:rPr>
          <w:bCs/>
          <w:b/>
          <w:lang w:val="en"/>
        </w:rPr>
        <w:t xml:space="preserve">Statistical owner</w:t>
      </w:r>
      <w:r>
        <w:rPr>
          <w:lang w:val="en"/>
        </w:rPr>
        <w:t xml:space="preserve"> </w:t>
      </w:r>
      <w:r>
        <w:rPr>
          <w:lang w:val="en"/>
        </w:rPr>
        <w:t xml:space="preserve">(usually the national statistical office): signs off official figures, confidentiality and SDG custodian alignment.</w:t>
      </w:r>
    </w:p>
    <w:p>
      <w:pPr>
        <w:numPr>
          <w:ilvl w:val="0"/>
          <w:numId w:val="1006"/>
        </w:numPr>
        <w:pStyle w:val="Compact"/>
      </w:pPr>
      <w:r>
        <w:rPr>
          <w:lang w:val="en"/>
        </w:rPr>
        <w:t xml:space="preserve">¶10</w:t>
      </w:r>
      <w:r>
        <w:rPr>
          <w:lang w:val="en"/>
        </w:rPr>
        <w:t xml:space="preserve"> </w:t>
      </w:r>
      <w:r>
        <w:rPr>
          <w:bCs/>
          <w:b/>
          <w:lang w:val="en"/>
        </w:rPr>
        <w:t xml:space="preserve">Community authority</w:t>
      </w:r>
      <w:r>
        <w:rPr>
          <w:lang w:val="en"/>
        </w:rPr>
        <w:t xml:space="preserve">: approves publication of traditional knowledge and community data (</w:t>
      </w:r>
      <w:hyperlink r:id="rId73">
        <w:r>
          <w:rPr>
            <w:rStyle w:val="Hyperlink"/>
            <w:bCs/>
            <w:b/>
            <w:lang w:val="en"/>
          </w:rPr>
          <w:t xml:space="preserve">TG-3.6</w:t>
        </w:r>
      </w:hyperlink>
      <w:r>
        <w:rPr>
          <w:lang w:val="en"/>
        </w:rPr>
        <w:t xml:space="preserve">).</w:t>
      </w:r>
    </w:p>
    <w:p>
      <w:pPr>
        <w:pStyle w:val="FirstParagraph"/>
      </w:pPr>
      <w:r>
        <w:rPr>
          <w:lang w:val="en"/>
        </w:rPr>
        <w:t xml:space="preserve">¶11</w:t>
      </w:r>
      <w:r>
        <w:rPr>
          <w:lang w:val="en"/>
        </w:rPr>
        <w:t xml:space="preserve"> </w:t>
      </w:r>
      <w:r>
        <w:rPr>
          <w:bCs/>
          <w:b/>
          <w:lang w:val="en"/>
        </w:rPr>
        <w:t xml:space="preserve">Records.</w:t>
      </w:r>
      <w:r>
        <w:rPr>
          <w:lang w:val="en"/>
        </w:rPr>
        <w:t xml:space="preserve"> </w:t>
      </w:r>
      <w:r>
        <w:rPr>
          <w:lang w:val="en"/>
        </w:rPr>
        <w:t xml:space="preserve">Three records are kept from the first day: the</w:t>
      </w:r>
      <w:r>
        <w:rPr>
          <w:lang w:val="en"/>
        </w:rPr>
        <w:t xml:space="preserve"> </w:t>
      </w:r>
      <w:r>
        <w:rPr>
          <w:bCs/>
          <w:b/>
          <w:lang w:val="en"/>
        </w:rPr>
        <w:t xml:space="preserve">QC log</w:t>
      </w:r>
      <w:r>
        <w:rPr>
          <w:lang w:val="en"/>
        </w:rPr>
        <w:t xml:space="preserve"> </w:t>
      </w:r>
      <w:r>
        <w:rPr>
          <w:lang w:val="en"/>
        </w:rPr>
        <w:t xml:space="preserve">(check, cell, result, action, initials, date); the</w:t>
      </w:r>
      <w:r>
        <w:rPr>
          <w:lang w:val="en"/>
        </w:rPr>
        <w:t xml:space="preserve"> </w:t>
      </w:r>
      <w:r>
        <w:rPr>
          <w:bCs/>
          <w:b/>
          <w:lang w:val="en"/>
        </w:rPr>
        <w:t xml:space="preserve">issue register</w:t>
      </w:r>
      <w:r>
        <w:rPr>
          <w:lang w:val="en"/>
        </w:rPr>
        <w:t xml:space="preserve"> </w:t>
      </w:r>
      <w:r>
        <w:rPr>
          <w:lang w:val="en"/>
        </w:rPr>
        <w:t xml:space="preserve">(open or closed, and whether each issue blocks release); and the</w:t>
      </w:r>
      <w:r>
        <w:rPr>
          <w:lang w:val="en"/>
        </w:rPr>
        <w:t xml:space="preserve"> </w:t>
      </w:r>
      <w:r>
        <w:rPr>
          <w:bCs/>
          <w:b/>
          <w:lang w:val="en"/>
        </w:rPr>
        <w:t xml:space="preserve">parameter register</w:t>
      </w:r>
      <w:r>
        <w:rPr>
          <w:lang w:val="en"/>
        </w:rPr>
        <w:t xml:space="preserve">, the single place every parameter is set (Section 3.3).</w:t>
      </w:r>
    </w:p>
    <w:p>
      <w:pPr>
        <w:pStyle w:val="BodyText"/>
      </w:pPr>
      <w:r>
        <w:rPr>
          <w:lang w:val="en"/>
        </w:rPr>
        <w:t xml:space="preserve">¶12</w:t>
      </w:r>
      <w:r>
        <w:rPr>
          <w:lang w:val="en"/>
        </w:rPr>
        <w:t xml:space="preserve"> </w:t>
      </w:r>
      <w:r>
        <w:rPr>
          <w:bCs/>
          <w:b/>
          <w:lang w:val="en"/>
        </w:rPr>
        <w:t xml:space="preserve">QC intensity.</w:t>
      </w:r>
      <w:r>
        <w:rPr>
          <w:lang w:val="en"/>
        </w:rPr>
        <w:t xml:space="preserve"> </w:t>
      </w:r>
      <w:r>
        <w:rPr>
          <w:lang w:val="en"/>
        </w:rPr>
        <w:t xml:space="preserve">QC effort scales with tier and with materiality. A representative sample of derived cells may be checked in any one cycle, provided every part of the account is covered over successive cycles</w:t>
      </w:r>
      <w:hyperlink w:anchor="user-content-fn-1">
        <w:r>
          <w:rPr>
            <w:rStyle w:val="Hyperlink"/>
            <w:vertAlign w:val="superscript"/>
            <w:lang w:val="en"/>
          </w:rPr>
          <w:t xml:space="preserve">1</w:t>
        </w:r>
      </w:hyperlink>
      <w:r>
        <w:rPr>
          <w:lang w:val="en"/>
        </w:rPr>
        <w:t xml:space="preserve">. Headline figures and every figure quoted in narrative text are recomputed in every cycle, whatever the tier (AQ-UN4).</w:t>
      </w:r>
    </w:p>
    <w:p>
      <w:pPr>
        <w:pStyle w:val="BodyText"/>
      </w:pPr>
      <w:r>
        <w:rPr>
          <w:lang w:val="en"/>
        </w:rPr>
        <w:t xml:space="preserve">¶13</w:t>
      </w:r>
      <w:r>
        <w:rPr>
          <w:lang w:val="en"/>
        </w:rPr>
        <w:t xml:space="preserve"> </w:t>
      </w:r>
      <w:r>
        <w:rPr>
          <w:bCs/>
          <w:b/>
          <w:lang w:val="en"/>
        </w:rPr>
        <w:t xml:space="preserve">Data-quality objectives.</w:t>
      </w:r>
      <w:r>
        <w:rPr>
          <w:lang w:val="en"/>
        </w:rPr>
        <w:t xml:space="preserve"> </w:t>
      </w:r>
      <w:r>
        <w:rPr>
          <w:lang w:val="en"/>
        </w:rPr>
        <w:t xml:space="preserve">The plan sets the seven data-quality objectives of the IPCC guidelines</w:t>
      </w:r>
      <w:hyperlink w:anchor="user-content-fn-1">
        <w:r>
          <w:rPr>
            <w:rStyle w:val="Hyperlink"/>
            <w:vertAlign w:val="superscript"/>
            <w:lang w:val="en"/>
          </w:rPr>
          <w:t xml:space="preserve">1</w:t>
        </w:r>
      </w:hyperlink>
      <w:r>
        <w:rPr>
          <w:lang w:val="en"/>
        </w:rPr>
        <w:t xml:space="preserve">. For an asset account each means the following (Table 3.16.2), and each needs a national value in the plan.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Objective</w:t>
            </w:r>
          </w:p>
        </w:tc>
        <w:tc>
          <w:tcPr/>
          <w:p>
            <w:pPr>
              <w:pStyle w:val="Compact"/>
              <w:jc w:val="left"/>
            </w:pPr>
            <w:r>
              <w:rPr>
                <w:lang w:val="en"/>
              </w:rPr>
              <w:t xml:space="preserve">What it means for an asset account</w:t>
            </w:r>
          </w:p>
        </w:tc>
      </w:tr>
      <w:tr>
        <w:tc>
          <w:tcPr/>
          <w:p>
            <w:pPr>
              <w:pStyle w:val="Compact"/>
              <w:jc w:val="left"/>
            </w:pPr>
            <w:r>
              <w:rPr>
                <w:lang w:val="en"/>
              </w:rPr>
              <w:t xml:space="preserve">Completeness</w:t>
            </w:r>
          </w:p>
        </w:tc>
        <w:tc>
          <w:tcPr/>
          <w:p>
            <w:pPr>
              <w:pStyle w:val="Compact"/>
              <w:jc w:val="left"/>
            </w:pPr>
            <w:r>
              <w:rPr>
                <w:lang w:val="en"/>
              </w:rPr>
              <w:t xml:space="preserve">Every asset type in the accounting area is compiled, or shown as ”..” with a reason</w:t>
            </w:r>
          </w:p>
        </w:tc>
      </w:tr>
      <w:tr>
        <w:tc>
          <w:tcPr/>
          <w:p>
            <w:pPr>
              <w:pStyle w:val="Compact"/>
              <w:jc w:val="left"/>
            </w:pPr>
            <w:r>
              <w:rPr>
                <w:lang w:val="en"/>
              </w:rPr>
              <w:t xml:space="preserve">Consistency</w:t>
            </w:r>
          </w:p>
        </w:tc>
        <w:tc>
          <w:tcPr/>
          <w:p>
            <w:pPr>
              <w:pStyle w:val="Compact"/>
              <w:jc w:val="left"/>
            </w:pPr>
            <w:r>
              <w:rPr>
                <w:lang w:val="en"/>
              </w:rPr>
              <w:t xml:space="preserve">Every identity closes; the series uses one method or its breaks are logged</w:t>
            </w:r>
          </w:p>
        </w:tc>
      </w:tr>
      <w:tr>
        <w:tc>
          <w:tcPr/>
          <w:p>
            <w:pPr>
              <w:pStyle w:val="Compact"/>
              <w:jc w:val="left"/>
            </w:pPr>
            <w:r>
              <w:rPr>
                <w:lang w:val="en"/>
              </w:rPr>
              <w:t xml:space="preserve">Comparability</w:t>
            </w:r>
          </w:p>
        </w:tc>
        <w:tc>
          <w:tcPr/>
          <w:p>
            <w:pPr>
              <w:pStyle w:val="Compact"/>
              <w:jc w:val="left"/>
            </w:pPr>
            <w:r>
              <w:rPr>
                <w:lang w:val="en"/>
              </w:rPr>
              <w:t xml:space="preserve">IUCN GET at level 3 or finer; fixed classification versions; one equal-area CRS</w:t>
            </w:r>
          </w:p>
        </w:tc>
      </w:tr>
      <w:tr>
        <w:tc>
          <w:tcPr/>
          <w:p>
            <w:pPr>
              <w:pStyle w:val="Compact"/>
              <w:jc w:val="left"/>
            </w:pPr>
            <w:r>
              <w:rPr>
                <w:lang w:val="en"/>
              </w:rPr>
              <w:t xml:space="preserve">Accuracy</w:t>
            </w:r>
          </w:p>
        </w:tc>
        <w:tc>
          <w:tcPr/>
          <w:p>
            <w:pPr>
              <w:pStyle w:val="Compact"/>
              <w:jc w:val="left"/>
            </w:pPr>
            <w:r>
              <w:rPr>
                <w:lang w:val="en"/>
              </w:rPr>
              <w:t xml:space="preserve">Extent accuracy thresholds met; stock coefficient of variation stated</w:t>
            </w:r>
          </w:p>
        </w:tc>
      </w:tr>
      <w:tr>
        <w:tc>
          <w:tcPr/>
          <w:p>
            <w:pPr>
              <w:pStyle w:val="Compact"/>
              <w:jc w:val="left"/>
            </w:pPr>
            <w:r>
              <w:rPr>
                <w:lang w:val="en"/>
              </w:rPr>
              <w:t xml:space="preserve">Timeliness</w:t>
            </w:r>
          </w:p>
        </w:tc>
        <w:tc>
          <w:tcPr/>
          <w:p>
            <w:pPr>
              <w:pStyle w:val="Compact"/>
              <w:jc w:val="left"/>
            </w:pPr>
            <w:r>
              <w:rPr>
                <w:lang w:val="en"/>
              </w:rPr>
              <w:t xml:space="preserve">Release lag after the reference period stated and met</w:t>
            </w:r>
          </w:p>
        </w:tc>
      </w:tr>
      <w:tr>
        <w:tc>
          <w:tcPr/>
          <w:p>
            <w:pPr>
              <w:pStyle w:val="Compact"/>
              <w:jc w:val="left"/>
            </w:pPr>
            <w:r>
              <w:rPr>
                <w:lang w:val="en"/>
              </w:rPr>
              <w:t xml:space="preserve">Transparency</w:t>
            </w:r>
          </w:p>
        </w:tc>
        <w:tc>
          <w:tcPr/>
          <w:p>
            <w:pPr>
              <w:pStyle w:val="Compact"/>
              <w:jc w:val="left"/>
            </w:pPr>
            <w:r>
              <w:rPr>
                <w:lang w:val="en"/>
              </w:rPr>
              <w:t xml:space="preserve">Evidence pack complete, including the asset items of Table 3.16.8</w:t>
            </w:r>
          </w:p>
        </w:tc>
      </w:tr>
      <w:tr>
        <w:tc>
          <w:tcPr/>
          <w:p>
            <w:pPr>
              <w:pStyle w:val="Compact"/>
              <w:jc w:val="left"/>
            </w:pPr>
            <w:r>
              <w:rPr>
                <w:lang w:val="en"/>
              </w:rPr>
              <w:t xml:space="preserve">Improvement</w:t>
            </w:r>
          </w:p>
        </w:tc>
        <w:tc>
          <w:tcPr/>
          <w:p>
            <w:pPr>
              <w:pStyle w:val="Compact"/>
              <w:jc w:val="left"/>
            </w:pPr>
            <w:r>
              <w:rPr>
                <w:lang w:val="en"/>
              </w:rPr>
              <w:t xml:space="preserve">A tier-progression plan for the next cycle</w:t>
            </w:r>
          </w:p>
        </w:tc>
      </w:tr>
    </w:tbl>
    <w:p>
      <w:pPr>
        <w:pStyle w:val="BodyText"/>
      </w:pPr>
      <w:r>
        <w:rPr>
          <w:lang w:val="en"/>
        </w:rPr>
        <w:t xml:space="preserve">¶14</w:t>
      </w:r>
      <w:r>
        <w:rPr>
          <w:lang w:val="en"/>
        </w:rPr>
        <w:t xml:space="preserve"> </w:t>
      </w:r>
      <w:r>
        <w:rPr>
          <w:iCs/>
          <w:i/>
          <w:lang w:val="en"/>
        </w:rPr>
        <w:t xml:space="preserve">Table 3.16.2: Data-quality objectives for an asset account, after IPCC (2006) Volume 1 Section 6.5.</w:t>
      </w:r>
    </w:p>
    <w:p>
      <w:pPr>
        <w:pStyle w:val="BodyText"/>
      </w:pPr>
      <w:r>
        <w:rPr>
          <w:lang w:val="en"/>
        </w:rPr>
        <w:t xml:space="preserve">¶15</w:t>
      </w:r>
      <w:r>
        <w:rPr>
          <w:lang w:val="en"/>
        </w:rPr>
        <w:t xml:space="preserve"> </w:t>
      </w:r>
      <w:r>
        <w:rPr>
          <w:bCs/>
          <w:b/>
          <w:lang w:val="en"/>
        </w:rPr>
        <w:t xml:space="preserve">Tiers.</w:t>
      </w:r>
      <w:r>
        <w:rPr>
          <w:lang w:val="en"/>
        </w:rPr>
        <w:t xml:space="preserve"> </w:t>
      </w:r>
      <w:r>
        <w:rPr>
          <w:lang w:val="en"/>
        </w:rPr>
        <w:t xml:space="preserve">Tier 1 is the minimum viable approach and higher tiers add rigour, as in TG-0.7 Section 3.8. The tiers here are proposed for consultation:</w:t>
      </w:r>
    </w:p>
    <w:p>
      <w:pPr>
        <w:numPr>
          <w:ilvl w:val="0"/>
          <w:numId w:val="1007"/>
        </w:numPr>
        <w:pStyle w:val="Compact"/>
      </w:pPr>
      <w:r>
        <w:rPr>
          <w:lang w:val="en"/>
        </w:rPr>
        <w:t xml:space="preserve">¶16</w:t>
      </w:r>
      <w:r>
        <w:rPr>
          <w:lang w:val="en"/>
        </w:rPr>
        <w:t xml:space="preserve"> </w:t>
      </w:r>
      <w:r>
        <w:rPr>
          <w:bCs/>
          <w:b/>
          <w:lang w:val="en"/>
        </w:rPr>
        <w:t xml:space="preserve">Tier 1 (minimum).</w:t>
      </w:r>
      <w:r>
        <w:rPr>
          <w:lang w:val="en"/>
        </w:rPr>
        <w:t xml:space="preserve"> </w:t>
      </w:r>
      <w:r>
        <w:rPr>
          <w:lang w:val="en"/>
        </w:rPr>
        <w:t xml:space="preserve">AQ-ID1 to AQ-ID4, AQ-ID6, AQ-UN1, AQ-UN4, AQ-PM3, AQ-VA6, AQ-FL1 and one verification check, plus the Table 3.16.5 acceptance checks for every asset type compiled.</w:t>
      </w:r>
    </w:p>
    <w:p>
      <w:pPr>
        <w:numPr>
          <w:ilvl w:val="0"/>
          <w:numId w:val="1007"/>
        </w:numPr>
        <w:pStyle w:val="Compact"/>
      </w:pPr>
      <w:r>
        <w:rPr>
          <w:lang w:val="en"/>
        </w:rPr>
        <w:t xml:space="preserve">¶17</w:t>
      </w:r>
      <w:r>
        <w:rPr>
          <w:lang w:val="en"/>
        </w:rPr>
        <w:t xml:space="preserve"> </w:t>
      </w:r>
      <w:r>
        <w:rPr>
          <w:bCs/>
          <w:b/>
          <w:lang w:val="en"/>
        </w:rPr>
        <w:t xml:space="preserve">Tier 2.</w:t>
      </w:r>
      <w:r>
        <w:rPr>
          <w:lang w:val="en"/>
        </w:rPr>
        <w:t xml:space="preserve"> </w:t>
      </w:r>
      <w:r>
        <w:rPr>
          <w:lang w:val="en"/>
        </w:rPr>
        <w:t xml:space="preserve">Every check in Tables 3.16.4 to 3.16.6, with at least 10% of derived cells recomputed.</w:t>
      </w:r>
    </w:p>
    <w:p>
      <w:pPr>
        <w:numPr>
          <w:ilvl w:val="0"/>
          <w:numId w:val="1007"/>
        </w:numPr>
        <w:pStyle w:val="Compact"/>
      </w:pPr>
      <w:r>
        <w:rPr>
          <w:lang w:val="en"/>
        </w:rPr>
        <w:t xml:space="preserve">¶18</w:t>
      </w:r>
      <w:r>
        <w:rPr>
          <w:lang w:val="en"/>
        </w:rPr>
        <w:t xml:space="preserve"> </w:t>
      </w:r>
      <w:r>
        <w:rPr>
          <w:bCs/>
          <w:b/>
          <w:lang w:val="en"/>
        </w:rPr>
        <w:t xml:space="preserve">Tier 3.</w:t>
      </w:r>
      <w:r>
        <w:rPr>
          <w:lang w:val="en"/>
        </w:rPr>
        <w:t xml:space="preserve"> </w:t>
      </w:r>
      <w:r>
        <w:rPr>
          <w:lang w:val="en"/>
        </w:rPr>
        <w:t xml:space="preserve">Tier 2, with Monte Carlo uncertainty for every monetary asset and a subject-specialist reviewer for each of the stock, extent and valuation parts.</w:t>
      </w:r>
    </w:p>
    <w:p>
      <w:pPr>
        <w:pStyle w:val="FirstParagraph"/>
      </w:pPr>
      <w:r>
        <w:rPr>
          <w:lang w:val="en"/>
        </w:rPr>
        <w:t xml:space="preserve">¶19</w:t>
      </w:r>
      <w:r>
        <w:rPr>
          <w:lang w:val="en"/>
        </w:rPr>
        <w:t xml:space="preserve"> </w:t>
      </w:r>
      <w:r>
        <w:rPr>
          <w:lang w:val="en"/>
        </w:rPr>
        <w:t xml:space="preserve">The worked example measures what the minimum misses: Tier 1 catches six of the nine seeded errors, and the three it does not catch (net recorded as gross, a condition index applied twice, and a loss valued twice) are the case for Tier 2.</w:t>
      </w:r>
    </w:p>
    <w:p>
      <w:pPr>
        <w:pStyle w:val="BodyText"/>
      </w:pPr>
      <w:r>
        <w:rPr>
          <w:lang w:val="en"/>
        </w:rPr>
        <w:t xml:space="preserve">¶20</w:t>
      </w:r>
      <w:r>
        <w:rPr>
          <w:lang w:val="en"/>
        </w:rPr>
        <w:t xml:space="preserve"> </w:t>
      </w:r>
      <w:r>
        <w:rPr>
          <w:bCs/>
          <w:b/>
          <w:lang w:val="en"/>
        </w:rPr>
        <w:t xml:space="preserve">QC log template.</w:t>
      </w:r>
      <w:r>
        <w:rPr>
          <w:lang w:val="en"/>
        </w:rPr>
        <w:t xml:space="preserve"> </w:t>
      </w:r>
      <w:r>
        <w:rPr>
          <w:lang w:val="en"/>
        </w:rPr>
        <w:t xml:space="preserve">Tables 3.16.4 to 3.16.6, with columns added for the result, the action, initials and date, are the template for the QC log. For condition cells the log also records the expected range, its source in the reference-value register, and the range verdict under AQ-CO7 (inside the usual range; unusual but within the plausibility range; or outside it and investigated).</w:t>
      </w:r>
    </w:p>
    <w:bookmarkStart w:id="76" w:name="X455fe4d63272dd3f0b10d3981ae80d58d99b02c"/>
    <w:p>
      <w:pPr>
        <w:pStyle w:val="Heading3"/>
      </w:pPr>
      <w:r>
        <w:rPr>
          <w:lang w:val="en"/>
        </w:rPr>
        <w:t xml:space="preserve">3.3</w:t>
      </w:r>
      <w:r>
        <w:rPr>
          <w:lang w:val="en"/>
        </w:rPr>
        <w:t xml:space="preserve"> </w:t>
      </w:r>
      <w:r>
        <w:rPr>
          <w:lang w:val="en"/>
        </w:rPr>
        <w:t xml:space="preserve">Methodological Issues</w:t>
      </w:r>
    </w:p>
    <w:p>
      <w:pPr>
        <w:pStyle w:val="FirstParagraph"/>
      </w:pPr>
      <w:hyperlink w:anchor="X455fe4d63272dd3f0b10d3981ae80d58d99b02c">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Methodological Issues”</w:t>
        </w:r>
      </w:hyperlink>
    </w:p>
    <w:bookmarkEnd w:id="76"/>
    <w:p>
      <w:pPr>
        <w:pStyle w:val="BodyText"/>
      </w:pPr>
      <w:r>
        <w:rPr>
          <w:lang w:val="en"/>
        </w:rPr>
        <w:t xml:space="preserve">¶1</w:t>
      </w:r>
      <w:r>
        <w:rPr>
          <w:lang w:val="en"/>
        </w:rPr>
        <w:t xml:space="preserve"> </w:t>
      </w:r>
      <w:r>
        <w:rPr>
          <w:bCs/>
          <w:b/>
          <w:lang w:val="en"/>
        </w:rPr>
        <w:t xml:space="preserve">Parameter register.</w:t>
      </w:r>
      <w:r>
        <w:rPr>
          <w:lang w:val="en"/>
        </w:rPr>
        <w:t xml:space="preserve"> </w:t>
      </w:r>
      <w:r>
        <w:rPr>
          <w:lang w:val="en"/>
        </w:rPr>
        <w:t xml:space="preserve">Every parameter that scales a result is set once, in one register, with its source, vintage and owner. For an asset account it holds: the discount rate and horizon, the carbon price and its basis, unit prices and rents, live-weight conversion factors, the carbon-to-CO₂ factor of 44/12, reference levels, the minimum mapping unit and the CRS pair. A value typed into a formula is a finding in itself, because it cannot be changed consistently.</w:t>
      </w:r>
    </w:p>
    <w:p>
      <w:pPr>
        <w:pStyle w:val="BodyText"/>
      </w:pPr>
      <w:r>
        <w:rPr>
          <w:lang w:val="en"/>
        </w:rPr>
        <w:t xml:space="preserve">¶2</w:t>
      </w:r>
      <w:r>
        <w:rPr>
          <w:lang w:val="en"/>
        </w:rPr>
        <w:t xml:space="preserve"> </w:t>
      </w:r>
      <w:r>
        <w:rPr>
          <w:bCs/>
          <w:b/>
          <w:lang w:val="en"/>
        </w:rPr>
        <w:t xml:space="preserve">Source-data acceptance.</w:t>
      </w:r>
      <w:r>
        <w:rPr>
          <w:lang w:val="en"/>
        </w:rPr>
        <w:t xml:space="preserve"> </w:t>
      </w:r>
      <w:r>
        <w:rPr>
          <w:lang w:val="en"/>
        </w:rPr>
        <w:t xml:space="preserve">Data from monitoring, research and administrative sources often concentrate on edge or problem cases, and need review against the measurement concepts and scope of the account before use (SEEA EA paras 2.87—2.88)</w:t>
      </w:r>
      <w:hyperlink w:anchor="user-content-fn-2">
        <w:r>
          <w:rPr>
            <w:rStyle w:val="Hyperlink"/>
            <w:vertAlign w:val="superscript"/>
            <w:lang w:val="en"/>
          </w:rPr>
          <w:t xml:space="preserve">2</w:t>
        </w:r>
      </w:hyperlink>
      <w:r>
        <w:rPr>
          <w:lang w:val="en"/>
        </w:rPr>
        <w:t xml:space="preserve">. That review belongs to the Section 4 circular that delivers the variable, with its definition, source, unit, coverage, reference value, uncertainty and quality tier (</w:t>
      </w:r>
      <w:hyperlink r:id="rId77">
        <w:r>
          <w:rPr>
            <w:rStyle w:val="Hyperlink"/>
            <w:bCs/>
            <w:b/>
            <w:lang w:val="en"/>
          </w:rPr>
          <w:t xml:space="preserve">TG-0.4</w:t>
        </w:r>
      </w:hyperlink>
      <w:r>
        <w:rPr>
          <w:lang w:val="en"/>
        </w:rPr>
        <w:t xml:space="preserve"> </w:t>
      </w:r>
      <w:r>
        <w:rPr>
          <w:lang w:val="en"/>
        </w:rPr>
        <w:t xml:space="preserve">Section 4.5). The account’s test is only that each value arrives with those attributes, a flag and its location in the primary source (a table cell or a quotation); a value without them goes back to its Section 4 owner. The location matters because values copied through secondary syntheses drift: an index is re-labelled as a stock, a biomass figure as carbon, or a value measured in another country is attached to a local place name. A value that cannot be traced to its primary source is not entered.</w:t>
      </w:r>
    </w:p>
    <w:p>
      <w:pPr>
        <w:pStyle w:val="BodyText"/>
      </w:pPr>
      <w:r>
        <w:rPr>
          <w:lang w:val="en"/>
        </w:rPr>
        <w:t xml:space="preserve">¶3</w:t>
      </w:r>
      <w:r>
        <w:rPr>
          <w:lang w:val="en"/>
        </w:rPr>
        <w:t xml:space="preserve"> </w:t>
      </w:r>
      <w:r>
        <w:rPr>
          <w:bCs/>
          <w:b/>
          <w:lang w:val="en"/>
        </w:rPr>
        <w:t xml:space="preserve">Double counting.</w:t>
      </w:r>
      <w:r>
        <w:rPr>
          <w:lang w:val="en"/>
        </w:rPr>
        <w:t xml:space="preserve"> </w:t>
      </w:r>
      <w:r>
        <w:rPr>
          <w:lang w:val="en"/>
        </w:rPr>
        <w:t xml:space="preserve">Four pairs cause most of it, and each has a check: fish-stock value and provisioning flow (AQ-ID6;</w:t>
      </w:r>
      <w:r>
        <w:rPr>
          <w:lang w:val="en"/>
        </w:rPr>
        <w:t xml:space="preserve"> </w:t>
      </w:r>
      <w:hyperlink r:id="rId45">
        <w:r>
          <w:rPr>
            <w:rStyle w:val="Hyperlink"/>
            <w:bCs/>
            <w:b/>
            <w:lang w:val="en"/>
          </w:rPr>
          <w:t xml:space="preserve">TG-6.7</w:t>
        </w:r>
      </w:hyperlink>
      <w:r>
        <w:rPr>
          <w:lang w:val="en"/>
        </w:rPr>
        <w:t xml:space="preserve"> </w:t>
      </w:r>
      <w:r>
        <w:rPr>
          <w:lang w:val="en"/>
        </w:rPr>
        <w:t xml:space="preserve">Section 3.5), produced and ecosystem protection (AQ-PR1), rent and government receipts (AQ-RC4), and nursery services (AQ-VA7).</w:t>
      </w:r>
    </w:p>
    <w:p>
      <w:pPr>
        <w:pStyle w:val="BodyText"/>
      </w:pPr>
      <w:r>
        <w:rPr>
          <w:lang w:val="en"/>
        </w:rPr>
        <w:t xml:space="preserve">¶4</w:t>
      </w:r>
      <w:r>
        <w:rPr>
          <w:lang w:val="en"/>
        </w:rPr>
        <w:t xml:space="preserve"> </w:t>
      </w:r>
      <w:r>
        <w:rPr>
          <w:bCs/>
          <w:b/>
          <w:lang w:val="en"/>
        </w:rPr>
        <w:t xml:space="preserve">Time series and revisions.</w:t>
      </w:r>
      <w:r>
        <w:rPr>
          <w:lang w:val="en"/>
        </w:rPr>
        <w:t xml:space="preserve"> </w:t>
      </w:r>
      <w:r>
        <w:rPr>
          <w:lang w:val="en"/>
        </w:rPr>
        <w:t xml:space="preserve">Every revision is documented (SEEA EA para 10.40)</w:t>
      </w:r>
      <w:hyperlink w:anchor="user-content-fn-7">
        <w:r>
          <w:rPr>
            <w:rStyle w:val="Hyperlink"/>
            <w:vertAlign w:val="superscript"/>
            <w:lang w:val="en"/>
          </w:rPr>
          <w:t xml:space="preserve">7</w:t>
        </w:r>
      </w:hyperlink>
      <w:r>
        <w:rPr>
          <w:lang w:val="en"/>
        </w:rPr>
        <w:t xml:space="preserve">, breaks are back-cast where feasible (TG-0.7 Section 3.2.4), and the asset account revises when and as the national accounts do, so that the two revisions policies stay aligned (SEEA CF para 6.70)</w:t>
      </w:r>
      <w:hyperlink w:anchor="user-content-fn-3">
        <w:r>
          <w:rPr>
            <w:rStyle w:val="Hyperlink"/>
            <w:vertAlign w:val="superscript"/>
            <w:lang w:val="en"/>
          </w:rPr>
          <w:t xml:space="preserve">3</w:t>
        </w:r>
      </w:hyperlink>
      <w:r>
        <w:rPr>
          <w:lang w:val="en"/>
        </w:rPr>
        <w:t xml:space="preserve">. Table 3.16.3 sets the two cases. A back-revision that moves a published indicator by more than 5% is re-published, the threshold</w:t>
      </w:r>
      <w:r>
        <w:rPr>
          <w:lang w:val="en"/>
        </w:rPr>
        <w:t xml:space="preserve"> </w:t>
      </w:r>
      <w:hyperlink r:id="rId78">
        <w:r>
          <w:rPr>
            <w:rStyle w:val="Hyperlink"/>
            <w:bCs/>
            <w:b/>
            <w:lang w:val="en"/>
          </w:rPr>
          <w:t xml:space="preserve">TG-4.5</w:t>
        </w:r>
      </w:hyperlink>
      <w:r>
        <w:rPr>
          <w:lang w:val="en"/>
        </w:rPr>
        <w:t xml:space="preserve"> </w:t>
      </w:r>
      <w:r>
        <w:rPr>
          <w:lang w:val="en"/>
        </w:rPr>
        <w:t xml:space="preserve">Section 3.5.4 sets.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Cause of the revision</w:t>
            </w:r>
          </w:p>
        </w:tc>
        <w:tc>
          <w:tcPr/>
          <w:p>
            <w:pPr>
              <w:pStyle w:val="Compact"/>
              <w:jc w:val="left"/>
            </w:pPr>
            <w:r>
              <w:rPr>
                <w:lang w:val="en"/>
              </w:rPr>
              <w:t xml:space="preserve">Individual environmental asset</w:t>
            </w:r>
          </w:p>
        </w:tc>
        <w:tc>
          <w:tcPr/>
          <w:p>
            <w:pPr>
              <w:pStyle w:val="Compact"/>
              <w:jc w:val="left"/>
            </w:pPr>
            <w:r>
              <w:rPr>
                <w:lang w:val="en"/>
              </w:rPr>
              <w:t xml:space="preserve">Ecosystem extent and condition</w:t>
            </w:r>
          </w:p>
        </w:tc>
        <w:tc>
          <w:tcPr/>
          <w:p>
            <w:pPr>
              <w:pStyle w:val="Compact"/>
              <w:jc w:val="left"/>
            </w:pPr>
            <w:r>
              <w:rPr>
                <w:lang w:val="en"/>
              </w:rPr>
              <w:t xml:space="preserve">Monetary ecosystem asset</w:t>
            </w:r>
          </w:p>
        </w:tc>
      </w:tr>
      <w:tr>
        <w:tc>
          <w:tcPr/>
          <w:p>
            <w:pPr>
              <w:pStyle w:val="Compact"/>
              <w:jc w:val="left"/>
            </w:pPr>
            <w:r>
              <w:rPr>
                <w:lang w:val="en"/>
              </w:rPr>
              <w:t xml:space="preserve">New data, same asset, same method</w:t>
            </w:r>
          </w:p>
        </w:tc>
        <w:tc>
          <w:tcPr/>
          <w:p>
            <w:pPr>
              <w:pStyle w:val="Compact"/>
              <w:jc w:val="left"/>
            </w:pPr>
            <w:r>
              <w:rPr>
                <w:lang w:val="en"/>
              </w:rPr>
              <w:t xml:space="preserve">Reappraisal, current period</w:t>
            </w:r>
          </w:p>
        </w:tc>
        <w:tc>
          <w:tcPr/>
          <w:p>
            <w:pPr>
              <w:pStyle w:val="Compact"/>
              <w:jc w:val="left"/>
            </w:pPr>
            <w:r>
              <w:rPr>
                <w:lang w:val="en"/>
              </w:rPr>
              <w:t xml:space="preserve">Reappraisal, shown as an identified line (SEEA EA 4.17)</w:t>
            </w:r>
            <w:hyperlink w:anchor="user-content-fn-8">
              <w:r>
                <w:rPr>
                  <w:rStyle w:val="Hyperlink"/>
                  <w:vertAlign w:val="superscript"/>
                  <w:lang w:val="en"/>
                </w:rPr>
                <w:t xml:space="preserve">8</w:t>
              </w:r>
            </w:hyperlink>
          </w:p>
        </w:tc>
        <w:tc>
          <w:tcPr/>
          <w:p>
            <w:pPr>
              <w:pStyle w:val="Compact"/>
              <w:jc w:val="left"/>
            </w:pPr>
            <w:r>
              <w:rPr>
                <w:lang w:val="en"/>
              </w:rPr>
              <w:t xml:space="preserve">Reappraisal (SEEA EA 10.38)</w:t>
            </w:r>
            <w:hyperlink w:anchor="user-content-fn-16">
              <w:r>
                <w:rPr>
                  <w:rStyle w:val="Hyperlink"/>
                  <w:vertAlign w:val="superscript"/>
                  <w:lang w:val="en"/>
                </w:rPr>
                <w:t xml:space="preserve">9</w:t>
              </w:r>
            </w:hyperlink>
          </w:p>
        </w:tc>
      </w:tr>
      <w:tr>
        <w:tc>
          <w:tcPr/>
          <w:p>
            <w:pPr>
              <w:pStyle w:val="Compact"/>
              <w:jc w:val="left"/>
            </w:pPr>
            <w:r>
              <w:rPr>
                <w:lang w:val="en"/>
              </w:rPr>
              <w:t xml:space="preserve">New method, source, classification or reference level</w:t>
            </w:r>
          </w:p>
        </w:tc>
        <w:tc>
          <w:tcPr/>
          <w:p>
            <w:pPr>
              <w:pStyle w:val="Compact"/>
              <w:jc w:val="left"/>
            </w:pPr>
            <w:r>
              <w:rPr>
                <w:lang w:val="en"/>
              </w:rPr>
              <w:t xml:space="preserve">Benchmark revision at rebasing: restate, back-cast, log the break</w:t>
            </w:r>
          </w:p>
        </w:tc>
        <w:tc>
          <w:tcPr/>
          <w:p>
            <w:pPr>
              <w:pStyle w:val="Compact"/>
              <w:jc w:val="left"/>
            </w:pPr>
            <w:r>
              <w:rPr>
                <w:lang w:val="en"/>
              </w:rPr>
              <w:t xml:space="preserve">Benchmark revision at rebasing: restate, back-cast, log the break</w:t>
            </w:r>
          </w:p>
        </w:tc>
        <w:tc>
          <w:tcPr/>
          <w:p>
            <w:pPr>
              <w:pStyle w:val="Compact"/>
              <w:jc w:val="left"/>
            </w:pPr>
            <w:r>
              <w:rPr>
                <w:lang w:val="en"/>
              </w:rPr>
              <w:t xml:space="preserve">Benchmark revision at rebasing: restate, back-cast, log the break</w:t>
            </w:r>
          </w:p>
        </w:tc>
      </w:tr>
    </w:tbl>
    <w:p>
      <w:pPr>
        <w:pStyle w:val="BodyText"/>
      </w:pPr>
      <w:r>
        <w:rPr>
          <w:lang w:val="en"/>
        </w:rPr>
        <w:t xml:space="preserve">¶5</w:t>
      </w:r>
      <w:r>
        <w:rPr>
          <w:lang w:val="en"/>
        </w:rPr>
        <w:t xml:space="preserve"> </w:t>
      </w:r>
      <w:r>
        <w:rPr>
          <w:iCs/>
          <w:i/>
          <w:lang w:val="en"/>
        </w:rPr>
        <w:t xml:space="preserve">Table 3.16.3: Treatment of revisions, aligned with national accounts benchmark revision and rebasing.</w:t>
      </w:r>
    </w:p>
    <w:bookmarkStart w:id="81" w:name="X0263dd8e586ad267a884d14c03429292d963bdc"/>
    <w:p>
      <w:pPr>
        <w:pStyle w:val="Heading3"/>
      </w:pPr>
      <w:r>
        <w:rPr>
          <w:lang w:val="en"/>
        </w:rPr>
        <w:t xml:space="preserve">3.4</w:t>
      </w:r>
      <w:r>
        <w:rPr>
          <w:lang w:val="en"/>
        </w:rPr>
        <w:t xml:space="preserve"> </w:t>
      </w:r>
      <w:r>
        <w:rPr>
          <w:lang w:val="en"/>
        </w:rPr>
        <w:t xml:space="preserve">General QC Checks</w:t>
      </w:r>
    </w:p>
    <w:p>
      <w:pPr>
        <w:pStyle w:val="FirstParagraph"/>
      </w:pPr>
      <w:hyperlink w:anchor="X0263dd8e586ad267a884d14c03429292d963bdc">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General QC Checks”</w:t>
        </w:r>
      </w:hyperlink>
    </w:p>
    <w:bookmarkEnd w:id="81"/>
    <w:p>
      <w:pPr>
        <w:pStyle w:val="BodyText"/>
      </w:pPr>
      <w:r>
        <w:rPr>
          <w:lang w:val="en"/>
        </w:rPr>
        <w:t xml:space="preserve">¶1</w:t>
      </w:r>
      <w:r>
        <w:rPr>
          <w:lang w:val="en"/>
        </w:rPr>
        <w:t xml:space="preserve"> </w:t>
      </w:r>
      <w:r>
        <w:drawing>
          <wp:inline>
            <wp:extent cx="152400" cy="152400"/>
            <wp:effectExtent b="0" l="0" r="0" t="0"/>
            <wp:docPr descr="" title="" id="82"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Known issues in the TG-3.1 worked example</w:t>
      </w:r>
    </w:p>
    <w:p>
      <w:pPr>
        <w:pStyle w:val="BodyText"/>
      </w:pPr>
      <w:r>
        <w:rPr>
          <w:lang w:val="en"/>
        </w:rPr>
        <w:t xml:space="preserve">¶2</w:t>
      </w:r>
      <w:r>
        <w:rPr>
          <w:lang w:val="en"/>
        </w:rPr>
        <w:t xml:space="preserve"> </w:t>
      </w:r>
      <w:r>
        <w:rPr>
          <w:lang w:val="en"/>
        </w:rPr>
        <w:t xml:space="preserve">Several checks below name TG-3.1 as the owner of their rule. The TG-3.1 worked example does not yet pass all of them, and the corrections are scheduled for the revision after this consultation: a reclassification is not shown in Table 5 (AQ-ID4); storm damage is booked as catastrophic loss within the regrowth horizon (AQ-RT1); restoration is valued as enhancement before the survival check (AQ-RT4); the seagrass linear-shortcut test is applied below its 70% condition (AQ-VA3); and depletion is equated with extraction (AQ-PM3). Read the TG-3.1 rules, not its example, until then.</w:t>
      </w:r>
    </w:p>
    <w:p>
      <w:pPr>
        <w:pStyle w:val="BodyText"/>
      </w:pPr>
      <w:r>
        <w:rPr>
          <w:lang w:val="en"/>
        </w:rPr>
        <w:t xml:space="preserve">¶3</w:t>
      </w:r>
      <w:r>
        <w:rPr>
          <w:lang w:val="en"/>
        </w:rPr>
        <w:t xml:space="preserve"> </w:t>
      </w:r>
      <w:r>
        <w:rPr>
          <w:lang w:val="en"/>
        </w:rPr>
        <w:t xml:space="preserve">The general checks apply to every asset account, whichever asset type it holds (Table 3.16.4). They are written in the style of the IPCC general inventory QC table</w:t>
      </w:r>
      <w:hyperlink w:anchor="user-content-fn-1">
        <w:r>
          <w:rPr>
            <w:rStyle w:val="Hyperlink"/>
            <w:vertAlign w:val="superscript"/>
            <w:lang w:val="en"/>
          </w:rPr>
          <w:t xml:space="preserve">1</w:t>
        </w:r>
      </w:hyperlink>
      <w:r>
        <w:rPr>
          <w:lang w:val="en"/>
        </w:rPr>
        <w:t xml:space="preserve">: each is a test with a pass condition, and the rule it tests belongs to the circular in the right-hand column.</w:t>
      </w:r>
      <w:r>
        <w:rPr>
          <w:lang w:val="en"/>
        </w:rPr>
        <w:t xml:space="preserve"> </w:t>
      </w:r>
      <w:r>
        <w:rPr>
          <w:bCs/>
          <w:b/>
          <w:lang w:val="en"/>
        </w:rPr>
        <w:t xml:space="preserve">Tolerances belong in the national QA/QC plan</w:t>
      </w:r>
      <w:r>
        <w:rPr>
          <w:lang w:val="en"/>
        </w:rPr>
        <w:t xml:space="preserve">, and this Circular strongly recommends that they be set there, taking account of regional conditions: the regional products and assessments a country verifies against, the regional fisheries body’s assessment practice, and regional differences in ecosystem variability and data. The tolerance column gives indicative values only, for use until the plan sets its own;</w:t>
      </w:r>
      <w:r>
        <w:rPr>
          <w:lang w:val="en"/>
        </w:rPr>
        <w:t xml:space="preserve"> </w:t>
      </w:r>
      <w:r>
        <w:rPr>
          <w:iCs/>
          <w:i/>
          <w:lang w:val="en"/>
        </w:rPr>
        <w:t xml:space="preserve">plan</w:t>
      </w:r>
      <w:r>
        <w:rPr>
          <w:lang w:val="en"/>
        </w:rPr>
        <w:t xml:space="preserve"> </w:t>
      </w:r>
      <w:r>
        <w:rPr>
          <w:lang w:val="en"/>
        </w:rPr>
        <w:t xml:space="preserve">marks a check with no indicative value. The evidence each check leaves is listed in the evidence pack (Table 3.16.8).</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ID</w:t>
            </w:r>
          </w:p>
        </w:tc>
        <w:tc>
          <w:tcPr/>
          <w:p>
            <w:pPr>
              <w:pStyle w:val="Compact"/>
              <w:jc w:val="left"/>
            </w:pPr>
            <w:r>
              <w:rPr>
                <w:lang w:val="en"/>
              </w:rPr>
              <w:t xml:space="preserve">Check</w:t>
            </w:r>
          </w:p>
        </w:tc>
        <w:tc>
          <w:tcPr/>
          <w:p>
            <w:pPr>
              <w:pStyle w:val="Compact"/>
              <w:jc w:val="left"/>
            </w:pPr>
            <w:r>
              <w:rPr>
                <w:lang w:val="en"/>
              </w:rPr>
              <w:t xml:space="preserve">Indicative tolerance</w:t>
            </w:r>
          </w:p>
        </w:tc>
        <w:tc>
          <w:tcPr/>
          <w:p>
            <w:pPr>
              <w:pStyle w:val="Compact"/>
              <w:jc w:val="left"/>
            </w:pPr>
            <w:r>
              <w:rPr>
                <w:lang w:val="en"/>
              </w:rPr>
              <w:t xml:space="preserve">Rule owner</w:t>
            </w:r>
          </w:p>
        </w:tc>
      </w:tr>
      <w:tr>
        <w:tc>
          <w:tcPr/>
          <w:p>
            <w:pPr>
              <w:pStyle w:val="Compact"/>
              <w:jc w:val="left"/>
            </w:pPr>
            <w:r>
              <w:rPr>
                <w:bCs/>
                <w:b/>
                <w:lang w:val="en"/>
              </w:rPr>
              <w:t xml:space="preserve">Identities</w:t>
            </w:r>
          </w:p>
        </w:tc>
        <w:tc>
          <w:tcPr/>
          <w:p>
            <w:pPr>
              <w:pStyle w:val="Compact"/>
            </w:pPr>
          </w:p>
        </w:tc>
        <w:tc>
          <w:tcPr/>
          <w:p>
            <w:pPr>
              <w:pStyle w:val="Compact"/>
            </w:pPr>
          </w:p>
        </w:tc>
        <w:tc>
          <w:tcPr/>
          <w:p>
            <w:pPr>
              <w:pStyle w:val="Compact"/>
            </w:pPr>
          </w:p>
        </w:tc>
      </w:tr>
      <w:tr>
        <w:tc>
          <w:tcPr/>
          <w:p>
            <w:pPr>
              <w:pStyle w:val="Compact"/>
              <w:jc w:val="left"/>
            </w:pPr>
            <w:r>
              <w:rPr>
                <w:lang w:val="en"/>
              </w:rPr>
              <w:t xml:space="preserve">AQ-ID1</w:t>
            </w:r>
          </w:p>
        </w:tc>
        <w:tc>
          <w:tcPr/>
          <w:p>
            <w:pPr>
              <w:pStyle w:val="Compact"/>
              <w:jc w:val="left"/>
            </w:pPr>
            <w:r>
              <w:rPr>
                <w:lang w:val="en"/>
              </w:rPr>
              <w:t xml:space="preserve">Opening + additions — reductions (+ revaluation) = closing, per column. A residual is shown as a reappraisal, never absorbed</w:t>
            </w:r>
          </w:p>
        </w:tc>
        <w:tc>
          <w:tcPr/>
          <w:p>
            <w:pPr>
              <w:pStyle w:val="Compact"/>
              <w:jc w:val="left"/>
            </w:pPr>
            <w:r>
              <w:rPr>
                <w:lang w:val="en"/>
              </w:rPr>
              <w:t xml:space="preserve">Zero, to rounding</w:t>
            </w:r>
          </w:p>
        </w:tc>
        <w:tc>
          <w:tcPr/>
          <w:p>
            <w:pPr>
              <w:pStyle w:val="Compact"/>
              <w:jc w:val="left"/>
            </w:pPr>
            <w:r>
              <w:rPr>
                <w:lang w:val="en"/>
              </w:rPr>
              <w:t xml:space="preserve">TG-3.1 Section 3.1; Table 1b</w:t>
            </w:r>
          </w:p>
        </w:tc>
      </w:tr>
      <w:tr>
        <w:tc>
          <w:tcPr/>
          <w:p>
            <w:pPr>
              <w:pStyle w:val="Compact"/>
              <w:jc w:val="left"/>
            </w:pPr>
            <w:r>
              <w:rPr>
                <w:lang w:val="en"/>
              </w:rPr>
              <w:t xml:space="preserve">AQ-ID2</w:t>
            </w:r>
          </w:p>
        </w:tc>
        <w:tc>
          <w:tcPr/>
          <w:p>
            <w:pPr>
              <w:pStyle w:val="Compact"/>
              <w:jc w:val="left"/>
            </w:pPr>
            <w:r>
              <w:rPr>
                <w:lang w:val="en"/>
              </w:rPr>
              <w:t xml:space="preserve">Opening = previous closing; any restatement logged</w:t>
            </w:r>
          </w:p>
        </w:tc>
        <w:tc>
          <w:tcPr/>
          <w:p>
            <w:pPr>
              <w:pStyle w:val="Compact"/>
              <w:jc w:val="left"/>
            </w:pPr>
            <w:r>
              <w:rPr>
                <w:lang w:val="en"/>
              </w:rPr>
              <w:t xml:space="preserve">Zero, or a logged restatement</w:t>
            </w:r>
          </w:p>
        </w:tc>
        <w:tc>
          <w:tcPr/>
          <w:p>
            <w:pPr>
              <w:pStyle w:val="Compact"/>
              <w:jc w:val="left"/>
            </w:pPr>
            <w:r>
              <w:rPr>
                <w:lang w:val="en"/>
              </w:rPr>
              <w:t xml:space="preserve">TG-3.1</w:t>
            </w:r>
          </w:p>
        </w:tc>
      </w:tr>
      <w:tr>
        <w:tc>
          <w:tcPr/>
          <w:p>
            <w:pPr>
              <w:pStyle w:val="Compact"/>
              <w:jc w:val="left"/>
            </w:pPr>
            <w:r>
              <w:rPr>
                <w:lang w:val="en"/>
              </w:rPr>
              <w:t xml:space="preserve">AQ-ID3</w:t>
            </w:r>
          </w:p>
        </w:tc>
        <w:tc>
          <w:tcPr/>
          <w:p>
            <w:pPr>
              <w:pStyle w:val="Compact"/>
              <w:jc w:val="left"/>
            </w:pPr>
            <w:r>
              <w:rPr>
                <w:lang w:val="en"/>
              </w:rPr>
              <w:t xml:space="preserve">Sum of opening extents = sum of closing extents = accounting area, computed in an equal-area CRS</w:t>
            </w:r>
          </w:p>
        </w:tc>
        <w:tc>
          <w:tcPr/>
          <w:p>
            <w:pPr>
              <w:pStyle w:val="Compact"/>
              <w:jc w:val="left"/>
            </w:pPr>
            <w:r>
              <w:rPr>
                <w:lang w:val="en"/>
              </w:rPr>
              <w:t xml:space="preserve">Zero, to rounding</w:t>
            </w:r>
          </w:p>
        </w:tc>
        <w:tc>
          <w:tcPr/>
          <w:p>
            <w:pPr>
              <w:pStyle w:val="Compact"/>
              <w:jc w:val="left"/>
            </w:pPr>
            <w:r>
              <w:rPr>
                <w:lang w:val="en"/>
              </w:rPr>
              <w:t xml:space="preserve">TG-3.1 Table 2a; TG-2.12</w:t>
            </w:r>
          </w:p>
        </w:tc>
      </w:tr>
      <w:tr>
        <w:tc>
          <w:tcPr/>
          <w:p>
            <w:pPr>
              <w:pStyle w:val="Compact"/>
              <w:jc w:val="left"/>
            </w:pPr>
            <w:r>
              <w:rPr>
                <w:lang w:val="en"/>
              </w:rPr>
              <w:t xml:space="preserve">AQ-ID4</w:t>
            </w:r>
          </w:p>
        </w:tc>
        <w:tc>
          <w:tcPr/>
          <w:p>
            <w:pPr>
              <w:pStyle w:val="Compact"/>
              <w:jc w:val="left"/>
            </w:pPr>
            <w:r>
              <w:rPr>
                <w:lang w:val="en"/>
              </w:rPr>
              <w:t xml:space="preserve">Net reclassification = 0, and every reduction has a destination type or a recorded change to the accounting-area boundary</w:t>
            </w:r>
          </w:p>
        </w:tc>
        <w:tc>
          <w:tcPr/>
          <w:p>
            <w:pPr>
              <w:pStyle w:val="Compact"/>
              <w:jc w:val="left"/>
            </w:pPr>
            <w:r>
              <w:rPr>
                <w:lang w:val="en"/>
              </w:rPr>
              <w:t xml:space="preserve">Zero</w:t>
            </w:r>
          </w:p>
        </w:tc>
        <w:tc>
          <w:tcPr/>
          <w:p>
            <w:pPr>
              <w:pStyle w:val="Compact"/>
              <w:jc w:val="left"/>
            </w:pPr>
            <w:r>
              <w:rPr>
                <w:lang w:val="en"/>
              </w:rPr>
              <w:t xml:space="preserve">TG-3.1 Table 2b</w:t>
            </w:r>
          </w:p>
        </w:tc>
      </w:tr>
      <w:tr>
        <w:tc>
          <w:tcPr/>
          <w:p>
            <w:pPr>
              <w:pStyle w:val="Compact"/>
              <w:jc w:val="left"/>
            </w:pPr>
            <w:r>
              <w:rPr>
                <w:lang w:val="en"/>
              </w:rPr>
              <w:t xml:space="preserve">AQ-ID5</w:t>
            </w:r>
          </w:p>
        </w:tc>
        <w:tc>
          <w:tcPr/>
          <w:p>
            <w:pPr>
              <w:pStyle w:val="Compact"/>
              <w:jc w:val="left"/>
            </w:pPr>
            <w:r>
              <w:rPr>
                <w:lang w:val="en"/>
              </w:rPr>
              <w:t xml:space="preserve">Change-matrix margins = opening and closing extent; gross conversions come from the off-diagonals, never a net figure used as gross</w:t>
            </w:r>
          </w:p>
        </w:tc>
        <w:tc>
          <w:tcPr/>
          <w:p>
            <w:pPr>
              <w:pStyle w:val="Compact"/>
              <w:jc w:val="left"/>
            </w:pPr>
            <w:r>
              <w:rPr>
                <w:lang w:val="en"/>
              </w:rPr>
              <w:t xml:space="preserve">Zero, to rounding</w:t>
            </w:r>
          </w:p>
        </w:tc>
        <w:tc>
          <w:tcPr/>
          <w:p>
            <w:pPr>
              <w:pStyle w:val="Compact"/>
              <w:jc w:val="left"/>
            </w:pPr>
            <w:r>
              <w:rPr>
                <w:lang w:val="en"/>
              </w:rPr>
              <w:t xml:space="preserve">TG-3.1; TG-4.1</w:t>
            </w:r>
          </w:p>
        </w:tc>
      </w:tr>
      <w:tr>
        <w:tc>
          <w:tcPr/>
          <w:p>
            <w:pPr>
              <w:pStyle w:val="Compact"/>
              <w:jc w:val="left"/>
            </w:pPr>
            <w:r>
              <w:rPr>
                <w:lang w:val="en"/>
              </w:rPr>
              <w:t xml:space="preserve">AQ-ID6</w:t>
            </w:r>
          </w:p>
        </w:tc>
        <w:tc>
          <w:tcPr/>
          <w:p>
            <w:pPr>
              <w:pStyle w:val="Compact"/>
              <w:jc w:val="left"/>
            </w:pPr>
            <w:r>
              <w:rPr>
                <w:lang w:val="en"/>
              </w:rPr>
              <w:t xml:space="preserve">Totals = sum of parts. Memorandum, experimental, ABNJ and produced rows, and the stand-alone SEEA CF stock value, stay out of ecosystem totals</w:t>
            </w:r>
          </w:p>
        </w:tc>
        <w:tc>
          <w:tcPr/>
          <w:p>
            <w:pPr>
              <w:pStyle w:val="Compact"/>
              <w:jc w:val="left"/>
            </w:pPr>
            <w:r>
              <w:rPr>
                <w:lang w:val="en"/>
              </w:rPr>
              <w:t xml:space="preserve">Zero</w:t>
            </w:r>
          </w:p>
        </w:tc>
        <w:tc>
          <w:tcPr/>
          <w:p>
            <w:pPr>
              <w:pStyle w:val="Compact"/>
              <w:jc w:val="left"/>
            </w:pPr>
            <w:r>
              <w:rPr>
                <w:lang w:val="en"/>
              </w:rPr>
              <w:t xml:space="preserve">TG-3.1; TG-6.7</w:t>
            </w:r>
          </w:p>
        </w:tc>
      </w:tr>
      <w:tr>
        <w:tc>
          <w:tcPr/>
          <w:p>
            <w:pPr>
              <w:pStyle w:val="Compact"/>
              <w:jc w:val="left"/>
            </w:pPr>
            <w:r>
              <w:rPr>
                <w:bCs/>
                <w:b/>
                <w:lang w:val="en"/>
              </w:rPr>
              <w:t xml:space="preserve">Units and recomputation</w:t>
            </w:r>
          </w:p>
        </w:tc>
        <w:tc>
          <w:tcPr/>
          <w:p>
            <w:pPr>
              <w:pStyle w:val="Compact"/>
            </w:pPr>
          </w:p>
        </w:tc>
        <w:tc>
          <w:tcPr/>
          <w:p>
            <w:pPr>
              <w:pStyle w:val="Compact"/>
            </w:pPr>
          </w:p>
        </w:tc>
        <w:tc>
          <w:tcPr/>
          <w:p>
            <w:pPr>
              <w:pStyle w:val="Compact"/>
            </w:pPr>
          </w:p>
        </w:tc>
      </w:tr>
      <w:tr>
        <w:tc>
          <w:tcPr/>
          <w:p>
            <w:pPr>
              <w:pStyle w:val="Compact"/>
              <w:jc w:val="left"/>
            </w:pPr>
            <w:r>
              <w:rPr>
                <w:lang w:val="en"/>
              </w:rPr>
              <w:t xml:space="preserve">AQ-UN1</w:t>
            </w:r>
          </w:p>
        </w:tc>
        <w:tc>
          <w:tcPr/>
          <w:p>
            <w:pPr>
              <w:pStyle w:val="Compact"/>
              <w:jc w:val="left"/>
            </w:pPr>
            <w:r>
              <w:rPr>
                <w:lang w:val="en"/>
              </w:rPr>
              <w:t xml:space="preserve">Order of magnitude: ha against km², USD against USD thousand, one price base per table; the implied unit value of every monetary entry with a physical counterpart is checked</w:t>
            </w:r>
          </w:p>
        </w:tc>
        <w:tc>
          <w:tcPr/>
          <w:p>
            <w:pPr>
              <w:pStyle w:val="Compact"/>
              <w:jc w:val="left"/>
            </w:pPr>
            <w:r>
              <w:rPr>
                <w:lang w:val="en"/>
              </w:rPr>
              <w:t xml:space="preserve">Ratio within 10</w:t>
            </w:r>
            <w:r>
              <w:rPr>
                <w:vertAlign w:val="superscript"/>
                <w:lang w:val="en"/>
              </w:rPr>
              <w:t xml:space="preserve">±0.5</w:t>
            </w:r>
          </w:p>
        </w:tc>
        <w:tc>
          <w:tcPr/>
          <w:p>
            <w:pPr>
              <w:pStyle w:val="Compact"/>
              <w:jc w:val="left"/>
            </w:pPr>
            <w:r>
              <w:rPr>
                <w:lang w:val="en"/>
              </w:rPr>
              <w:t xml:space="preserve">Generic check (moves to TG-0.7)</w:t>
            </w:r>
          </w:p>
        </w:tc>
      </w:tr>
      <w:tr>
        <w:tc>
          <w:tcPr/>
          <w:p>
            <w:pPr>
              <w:pStyle w:val="Compact"/>
              <w:jc w:val="left"/>
            </w:pPr>
            <w:r>
              <w:rPr>
                <w:lang w:val="en"/>
              </w:rPr>
              <w:t xml:space="preserve">AQ-UN2</w:t>
            </w:r>
          </w:p>
        </w:tc>
        <w:tc>
          <w:tcPr/>
          <w:p>
            <w:pPr>
              <w:pStyle w:val="Compact"/>
              <w:jc w:val="left"/>
            </w:pPr>
            <w:r>
              <w:rPr>
                <w:lang w:val="en"/>
              </w:rPr>
              <w:t xml:space="preserve">Carbon unit stated on every row; 44/12 recorded; the price unit matches the quantity unit</w:t>
            </w:r>
          </w:p>
        </w:tc>
        <w:tc>
          <w:tcPr/>
          <w:p>
            <w:pPr>
              <w:pStyle w:val="Compact"/>
              <w:jc w:val="left"/>
            </w:pPr>
            <w:r>
              <w:rPr>
                <w:lang w:val="en"/>
              </w:rPr>
              <w:t xml:space="preserve">Exact</w:t>
            </w:r>
          </w:p>
        </w:tc>
        <w:tc>
          <w:tcPr/>
          <w:p>
            <w:pPr>
              <w:pStyle w:val="Compact"/>
              <w:jc w:val="left"/>
            </w:pPr>
            <w:r>
              <w:rPr>
                <w:lang w:val="en"/>
              </w:rPr>
              <w:t xml:space="preserve">Generic check (moves to TG-0.7)</w:t>
            </w:r>
          </w:p>
        </w:tc>
      </w:tr>
      <w:tr>
        <w:tc>
          <w:tcPr/>
          <w:p>
            <w:pPr>
              <w:pStyle w:val="Compact"/>
              <w:jc w:val="left"/>
            </w:pPr>
            <w:r>
              <w:rPr>
                <w:lang w:val="en"/>
              </w:rPr>
              <w:t xml:space="preserve">AQ-UN3</w:t>
            </w:r>
          </w:p>
        </w:tc>
        <w:tc>
          <w:tcPr/>
          <w:p>
            <w:pPr>
              <w:pStyle w:val="Compact"/>
              <w:jc w:val="left"/>
            </w:pPr>
            <w:r>
              <w:rPr>
                <w:lang w:val="en"/>
              </w:rPr>
              <w:t xml:space="preserve">Catch in live-weight equivalent, from one conversion-factor source per species and form</w:t>
            </w:r>
          </w:p>
        </w:tc>
        <w:tc>
          <w:tcPr/>
          <w:p>
            <w:pPr>
              <w:pStyle w:val="Compact"/>
              <w:jc w:val="left"/>
            </w:pPr>
            <w:r>
              <w:rPr>
                <w:lang w:val="en"/>
              </w:rPr>
              <w:t xml:space="preserve">Exact</w:t>
            </w:r>
          </w:p>
        </w:tc>
        <w:tc>
          <w:tcPr/>
          <w:p>
            <w:pPr>
              <w:pStyle w:val="Compact"/>
              <w:jc w:val="left"/>
            </w:pPr>
            <w:r>
              <w:rPr>
                <w:lang w:val="en"/>
              </w:rPr>
              <w:t xml:space="preserve">TG-3.1 Step 4</w:t>
            </w:r>
          </w:p>
        </w:tc>
      </w:tr>
      <w:tr>
        <w:tc>
          <w:tcPr/>
          <w:p>
            <w:pPr>
              <w:pStyle w:val="Compact"/>
              <w:jc w:val="left"/>
            </w:pPr>
            <w:r>
              <w:rPr>
                <w:lang w:val="en"/>
              </w:rPr>
              <w:t xml:space="preserve">AQ-UN4</w:t>
            </w:r>
          </w:p>
        </w:tc>
        <w:tc>
          <w:tcPr/>
          <w:p>
            <w:pPr>
              <w:pStyle w:val="Compact"/>
              <w:jc w:val="left"/>
            </w:pPr>
            <w:r>
              <w:rPr>
                <w:lang w:val="en"/>
              </w:rPr>
              <w:t xml:space="preserve">Every figure quoted in text recomputed, and a sample of derived cells (at least 10% at Tier 2)</w:t>
            </w:r>
          </w:p>
        </w:tc>
        <w:tc>
          <w:tcPr/>
          <w:p>
            <w:pPr>
              <w:pStyle w:val="Compact"/>
              <w:jc w:val="left"/>
            </w:pPr>
            <w:r>
              <w:rPr>
                <w:lang w:val="en"/>
              </w:rPr>
              <w:t xml:space="preserve">Exact at the printed precision</w:t>
            </w:r>
          </w:p>
        </w:tc>
        <w:tc>
          <w:tcPr/>
          <w:p>
            <w:pPr>
              <w:pStyle w:val="Compact"/>
              <w:jc w:val="left"/>
            </w:pPr>
            <w:r>
              <w:rPr>
                <w:lang w:val="en"/>
              </w:rPr>
              <w:t xml:space="preserve">Generic check (moves to TG-0.7)</w:t>
            </w:r>
          </w:p>
        </w:tc>
      </w:tr>
      <w:tr>
        <w:tc>
          <w:tcPr/>
          <w:p>
            <w:pPr>
              <w:pStyle w:val="Compact"/>
              <w:jc w:val="left"/>
            </w:pPr>
            <w:r>
              <w:rPr>
                <w:bCs/>
                <w:b/>
                <w:lang w:val="en"/>
              </w:rPr>
              <w:t xml:space="preserve">Routing</w:t>
            </w:r>
          </w:p>
        </w:tc>
        <w:tc>
          <w:tcPr/>
          <w:p>
            <w:pPr>
              <w:pStyle w:val="Compact"/>
            </w:pPr>
          </w:p>
        </w:tc>
        <w:tc>
          <w:tcPr/>
          <w:p>
            <w:pPr>
              <w:pStyle w:val="Compact"/>
            </w:pPr>
          </w:p>
        </w:tc>
        <w:tc>
          <w:tcPr/>
          <w:p>
            <w:pPr>
              <w:pStyle w:val="Compact"/>
            </w:pPr>
          </w:p>
        </w:tc>
      </w:tr>
      <w:tr>
        <w:tc>
          <w:tcPr/>
          <w:p>
            <w:pPr>
              <w:pStyle w:val="Compact"/>
              <w:jc w:val="left"/>
            </w:pPr>
            <w:r>
              <w:rPr>
                <w:lang w:val="en"/>
              </w:rPr>
              <w:t xml:space="preserve">AQ-RT1</w:t>
            </w:r>
          </w:p>
        </w:tc>
        <w:tc>
          <w:tcPr/>
          <w:p>
            <w:pPr>
              <w:pStyle w:val="Compact"/>
              <w:jc w:val="left"/>
            </w:pPr>
            <w:r>
              <w:rPr>
                <w:lang w:val="en"/>
              </w:rPr>
              <w:t xml:space="preserve">Type changed: conversion. Condition lost in a discrete event: catastrophic loss. Gradual decline: degradation. Storm damage is an extent change only beyond the regrowth horizon</w:t>
            </w:r>
          </w:p>
        </w:tc>
        <w:tc>
          <w:tcPr/>
          <w:p>
            <w:pPr>
              <w:pStyle w:val="Compact"/>
              <w:jc w:val="left"/>
            </w:pPr>
            <w:r>
              <w:rPr>
                <w:lang w:val="en"/>
              </w:rPr>
              <w:t xml:space="preserve">Rule</w:t>
            </w:r>
          </w:p>
        </w:tc>
        <w:tc>
          <w:tcPr/>
          <w:p>
            <w:pPr>
              <w:pStyle w:val="Compact"/>
              <w:jc w:val="left"/>
            </w:pPr>
            <w:r>
              <w:rPr>
                <w:lang w:val="en"/>
              </w:rPr>
              <w:t xml:space="preserve">TG-3.1 Section 3.5.3</w:t>
            </w:r>
          </w:p>
        </w:tc>
      </w:tr>
      <w:tr>
        <w:tc>
          <w:tcPr/>
          <w:p>
            <w:pPr>
              <w:pStyle w:val="Compact"/>
              <w:jc w:val="left"/>
            </w:pPr>
            <w:r>
              <w:rPr>
                <w:lang w:val="en"/>
              </w:rPr>
              <w:t xml:space="preserve">AQ-RT2</w:t>
            </w:r>
          </w:p>
        </w:tc>
        <w:tc>
          <w:tcPr/>
          <w:p>
            <w:pPr>
              <w:pStyle w:val="Compact"/>
              <w:jc w:val="left"/>
            </w:pPr>
            <w:r>
              <w:rPr>
                <w:lang w:val="en"/>
              </w:rPr>
              <w:t xml:space="preserve">Revisions kept apart from genuine change, with the revision class logged (Table 3.16.3)</w:t>
            </w:r>
          </w:p>
        </w:tc>
        <w:tc>
          <w:tcPr/>
          <w:p>
            <w:pPr>
              <w:pStyle w:val="Compact"/>
              <w:jc w:val="left"/>
            </w:pPr>
            <w:r>
              <w:rPr>
                <w:lang w:val="en"/>
              </w:rPr>
              <w:t xml:space="preserve">Rule</w:t>
            </w:r>
          </w:p>
        </w:tc>
        <w:tc>
          <w:tcPr/>
          <w:p>
            <w:pPr>
              <w:pStyle w:val="Compact"/>
              <w:jc w:val="left"/>
            </w:pPr>
            <w:r>
              <w:rPr>
                <w:lang w:val="en"/>
              </w:rPr>
              <w:t xml:space="preserve">TG-3.1; TG-6.7</w:t>
            </w:r>
          </w:p>
        </w:tc>
      </w:tr>
      <w:tr>
        <w:tc>
          <w:tcPr/>
          <w:p>
            <w:pPr>
              <w:pStyle w:val="Compact"/>
              <w:jc w:val="left"/>
            </w:pPr>
            <w:r>
              <w:rPr>
                <w:lang w:val="en"/>
              </w:rPr>
              <w:t xml:space="preserve">AQ-RT3</w:t>
            </w:r>
          </w:p>
        </w:tc>
        <w:tc>
          <w:tcPr/>
          <w:p>
            <w:pPr>
              <w:pStyle w:val="Compact"/>
              <w:jc w:val="left"/>
            </w:pPr>
            <w:r>
              <w:rPr>
                <w:lang w:val="en"/>
              </w:rPr>
              <w:t xml:space="preserve">A mineral class move is a reclassification, not a discovery</w:t>
            </w:r>
          </w:p>
        </w:tc>
        <w:tc>
          <w:tcPr/>
          <w:p>
            <w:pPr>
              <w:pStyle w:val="Compact"/>
              <w:jc w:val="left"/>
            </w:pPr>
            <w:r>
              <w:rPr>
                <w:lang w:val="en"/>
              </w:rPr>
              <w:t xml:space="preserve">Rule</w:t>
            </w:r>
          </w:p>
        </w:tc>
        <w:tc>
          <w:tcPr/>
          <w:p>
            <w:pPr>
              <w:pStyle w:val="Compact"/>
              <w:jc w:val="left"/>
            </w:pPr>
            <w:r>
              <w:rPr>
                <w:lang w:val="en"/>
              </w:rPr>
              <w:t xml:space="preserve">TG-3.1 Section 3.4.2</w:t>
            </w:r>
          </w:p>
        </w:tc>
      </w:tr>
      <w:tr>
        <w:tc>
          <w:tcPr/>
          <w:p>
            <w:pPr>
              <w:pStyle w:val="Compact"/>
              <w:jc w:val="left"/>
            </w:pPr>
            <w:r>
              <w:rPr>
                <w:lang w:val="en"/>
              </w:rPr>
              <w:t xml:space="preserve">AQ-RT4</w:t>
            </w:r>
          </w:p>
        </w:tc>
        <w:tc>
          <w:tcPr/>
          <w:p>
            <w:pPr>
              <w:pStyle w:val="Compact"/>
              <w:jc w:val="left"/>
            </w:pPr>
            <w:r>
              <w:rPr>
                <w:lang w:val="en"/>
              </w:rPr>
              <w:t xml:space="preserve">Planting enters extent only after the year-3 survival check; a condition gain is enhancement</w:t>
            </w:r>
          </w:p>
        </w:tc>
        <w:tc>
          <w:tcPr/>
          <w:p>
            <w:pPr>
              <w:pStyle w:val="Compact"/>
              <w:jc w:val="left"/>
            </w:pPr>
            <w:r>
              <w:rPr>
                <w:lang w:val="en"/>
              </w:rPr>
              <w:t xml:space="preserve">Rule</w:t>
            </w:r>
          </w:p>
        </w:tc>
        <w:tc>
          <w:tcPr/>
          <w:p>
            <w:pPr>
              <w:pStyle w:val="Compact"/>
              <w:jc w:val="left"/>
            </w:pPr>
            <w:r>
              <w:rPr>
                <w:lang w:val="en"/>
              </w:rPr>
              <w:t xml:space="preserve">TG-6.2</w:t>
            </w:r>
          </w:p>
        </w:tc>
      </w:tr>
      <w:tr>
        <w:tc>
          <w:tcPr/>
          <w:p>
            <w:pPr>
              <w:pStyle w:val="Compact"/>
              <w:jc w:val="left"/>
            </w:pPr>
            <w:r>
              <w:rPr>
                <w:bCs/>
                <w:b/>
                <w:lang w:val="en"/>
              </w:rPr>
              <w:t xml:space="preserve">Physical to monetary</w:t>
            </w:r>
          </w:p>
        </w:tc>
        <w:tc>
          <w:tcPr/>
          <w:p>
            <w:pPr>
              <w:pStyle w:val="Compact"/>
            </w:pPr>
          </w:p>
        </w:tc>
        <w:tc>
          <w:tcPr/>
          <w:p>
            <w:pPr>
              <w:pStyle w:val="Compact"/>
            </w:pPr>
          </w:p>
        </w:tc>
        <w:tc>
          <w:tcPr/>
          <w:p>
            <w:pPr>
              <w:pStyle w:val="Compact"/>
            </w:pPr>
          </w:p>
        </w:tc>
      </w:tr>
      <w:tr>
        <w:tc>
          <w:tcPr/>
          <w:p>
            <w:pPr>
              <w:pStyle w:val="Compact"/>
              <w:jc w:val="left"/>
            </w:pPr>
            <w:r>
              <w:rPr>
                <w:lang w:val="en"/>
              </w:rPr>
              <w:t xml:space="preserve">AQ-PM1</w:t>
            </w:r>
          </w:p>
        </w:tc>
        <w:tc>
          <w:tcPr/>
          <w:p>
            <w:pPr>
              <w:pStyle w:val="Compact"/>
              <w:jc w:val="left"/>
            </w:pPr>
            <w:r>
              <w:rPr>
                <w:lang w:val="en"/>
              </w:rPr>
              <w:t xml:space="preserve">Each monetary volume entry = its physical entry × the stated unit value; no quantity valued in two rows</w:t>
            </w:r>
          </w:p>
        </w:tc>
        <w:tc>
          <w:tcPr/>
          <w:p>
            <w:pPr>
              <w:pStyle w:val="Compact"/>
              <w:jc w:val="left"/>
            </w:pPr>
            <w:r>
              <w:rPr>
                <w:lang w:val="en"/>
              </w:rPr>
              <w:t xml:space="preserve">Zero, to rounding</w:t>
            </w:r>
          </w:p>
        </w:tc>
        <w:tc>
          <w:tcPr/>
          <w:p>
            <w:pPr>
              <w:pStyle w:val="Compact"/>
              <w:jc w:val="left"/>
            </w:pPr>
            <w:r>
              <w:rPr>
                <w:lang w:val="en"/>
              </w:rPr>
              <w:t xml:space="preserve">TG-3.1 Section 3.3</w:t>
            </w:r>
          </w:p>
        </w:tc>
      </w:tr>
      <w:tr>
        <w:tc>
          <w:tcPr/>
          <w:p>
            <w:pPr>
              <w:pStyle w:val="Compact"/>
              <w:jc w:val="left"/>
            </w:pPr>
            <w:r>
              <w:rPr>
                <w:lang w:val="en"/>
              </w:rPr>
              <w:t xml:space="preserve">AQ-PM2</w:t>
            </w:r>
          </w:p>
        </w:tc>
        <w:tc>
          <w:tcPr/>
          <w:p>
            <w:pPr>
              <w:pStyle w:val="Compact"/>
              <w:jc w:val="left"/>
            </w:pPr>
            <w:r>
              <w:rPr>
                <w:lang w:val="en"/>
              </w:rPr>
              <w:t xml:space="preserve">Opening value per unit of stock agrees with the flow valuation, or the difference is explained</w:t>
            </w:r>
          </w:p>
        </w:tc>
        <w:tc>
          <w:tcPr/>
          <w:p>
            <w:pPr>
              <w:pStyle w:val="Compact"/>
              <w:jc w:val="left"/>
            </w:pPr>
            <w:r>
              <w:rPr>
                <w:lang w:val="en"/>
              </w:rPr>
              <w:t xml:space="preserve">Plan</w:t>
            </w:r>
          </w:p>
        </w:tc>
        <w:tc>
          <w:tcPr/>
          <w:p>
            <w:pPr>
              <w:pStyle w:val="Compact"/>
              <w:jc w:val="left"/>
            </w:pPr>
            <w:r>
              <w:rPr>
                <w:lang w:val="en"/>
              </w:rPr>
              <w:t xml:space="preserve">TG-3.1 Section 3.4.1</w:t>
            </w:r>
          </w:p>
        </w:tc>
      </w:tr>
      <w:tr>
        <w:tc>
          <w:tcPr/>
          <w:p>
            <w:pPr>
              <w:pStyle w:val="Compact"/>
              <w:jc w:val="left"/>
            </w:pPr>
            <w:r>
              <w:rPr>
                <w:lang w:val="en"/>
              </w:rPr>
              <w:t xml:space="preserve">AQ-PM3</w:t>
            </w:r>
          </w:p>
        </w:tc>
        <w:tc>
          <w:tcPr/>
          <w:p>
            <w:pPr>
              <w:pStyle w:val="Compact"/>
              <w:jc w:val="left"/>
            </w:pPr>
            <w:r>
              <w:rPr>
                <w:lang w:val="en"/>
              </w:rPr>
              <w:t xml:space="preserve">Depletion traces: renewable, max(0, extraction — sustainable yield at current biomass); non-renewable, extraction; valued at the mid-period price; a constant-price memorandum line</w:t>
            </w:r>
          </w:p>
        </w:tc>
        <w:tc>
          <w:tcPr/>
          <w:p>
            <w:pPr>
              <w:pStyle w:val="Compact"/>
              <w:jc w:val="left"/>
            </w:pPr>
            <w:r>
              <w:rPr>
                <w:lang w:val="en"/>
              </w:rPr>
              <w:t xml:space="preserve">Zero, to rounding</w:t>
            </w:r>
          </w:p>
        </w:tc>
        <w:tc>
          <w:tcPr/>
          <w:p>
            <w:pPr>
              <w:pStyle w:val="Compact"/>
              <w:jc w:val="left"/>
            </w:pPr>
            <w:r>
              <w:rPr>
                <w:lang w:val="en"/>
              </w:rPr>
              <w:t xml:space="preserve">TG-3.1; TG-6.7</w:t>
            </w:r>
          </w:p>
        </w:tc>
      </w:tr>
      <w:tr>
        <w:tc>
          <w:tcPr/>
          <w:p>
            <w:pPr>
              <w:pStyle w:val="Compact"/>
              <w:jc w:val="left"/>
            </w:pPr>
            <w:r>
              <w:rPr>
                <w:lang w:val="en"/>
              </w:rPr>
              <w:t xml:space="preserve">AQ-PM4</w:t>
            </w:r>
          </w:p>
        </w:tc>
        <w:tc>
          <w:tcPr/>
          <w:p>
            <w:pPr>
              <w:pStyle w:val="Compact"/>
              <w:jc w:val="left"/>
            </w:pPr>
            <w:r>
              <w:rPr>
                <w:lang w:val="en"/>
              </w:rPr>
              <w:t xml:space="preserve">Degradation traces to the index decline in Table 3c × the present value of the affected services. No index, no entry</w:t>
            </w:r>
          </w:p>
        </w:tc>
        <w:tc>
          <w:tcPr/>
          <w:p>
            <w:pPr>
              <w:pStyle w:val="Compact"/>
              <w:jc w:val="left"/>
            </w:pPr>
            <w:r>
              <w:rPr>
                <w:lang w:val="en"/>
              </w:rPr>
              <w:t xml:space="preserve">Zero, to rounding</w:t>
            </w:r>
          </w:p>
        </w:tc>
        <w:tc>
          <w:tcPr/>
          <w:p>
            <w:pPr>
              <w:pStyle w:val="Compact"/>
              <w:jc w:val="left"/>
            </w:pPr>
            <w:r>
              <w:rPr>
                <w:lang w:val="en"/>
              </w:rPr>
              <w:t xml:space="preserve">TG-3.1 Sections 3.5.2—3.5.3</w:t>
            </w:r>
          </w:p>
        </w:tc>
      </w:tr>
      <w:tr>
        <w:tc>
          <w:tcPr/>
          <w:p>
            <w:pPr>
              <w:pStyle w:val="Compact"/>
              <w:jc w:val="left"/>
            </w:pPr>
            <w:r>
              <w:rPr>
                <w:lang w:val="en"/>
              </w:rPr>
              <w:t xml:space="preserve">AQ-PM5</w:t>
            </w:r>
          </w:p>
        </w:tc>
        <w:tc>
          <w:tcPr/>
          <w:p>
            <w:pPr>
              <w:pStyle w:val="Compact"/>
              <w:jc w:val="left"/>
            </w:pPr>
            <w:r>
              <w:rPr>
                <w:lang w:val="en"/>
              </w:rPr>
              <w:t xml:space="preserve">Value change split into volume, reappraisal and revaluation; a constant-price view published; a physical decline beside a monetary gain explained</w:t>
            </w:r>
          </w:p>
        </w:tc>
        <w:tc>
          <w:tcPr/>
          <w:p>
            <w:pPr>
              <w:pStyle w:val="Compact"/>
              <w:jc w:val="left"/>
            </w:pPr>
            <w:r>
              <w:rPr>
                <w:lang w:val="en"/>
              </w:rPr>
              <w:t xml:space="preserve">Rule</w:t>
            </w:r>
          </w:p>
        </w:tc>
        <w:tc>
          <w:tcPr/>
          <w:p>
            <w:pPr>
              <w:pStyle w:val="Compact"/>
              <w:jc w:val="left"/>
            </w:pPr>
            <w:r>
              <w:rPr>
                <w:lang w:val="en"/>
              </w:rPr>
              <w:t xml:space="preserve">TG-3.1 Step 5</w:t>
            </w:r>
          </w:p>
        </w:tc>
      </w:tr>
      <w:tr>
        <w:tc>
          <w:tcPr/>
          <w:p>
            <w:pPr>
              <w:pStyle w:val="Compact"/>
              <w:jc w:val="left"/>
            </w:pPr>
            <w:r>
              <w:rPr>
                <w:bCs/>
                <w:b/>
                <w:lang w:val="en"/>
              </w:rPr>
              <w:t xml:space="preserve">Valuation</w:t>
            </w:r>
          </w:p>
        </w:tc>
        <w:tc>
          <w:tcPr/>
          <w:p>
            <w:pPr>
              <w:pStyle w:val="Compact"/>
            </w:pPr>
          </w:p>
        </w:tc>
        <w:tc>
          <w:tcPr/>
          <w:p>
            <w:pPr>
              <w:pStyle w:val="Compact"/>
            </w:pPr>
          </w:p>
        </w:tc>
        <w:tc>
          <w:tcPr/>
          <w:p>
            <w:pPr>
              <w:pStyle w:val="Compact"/>
            </w:pPr>
          </w:p>
        </w:tc>
      </w:tr>
      <w:tr>
        <w:tc>
          <w:tcPr/>
          <w:p>
            <w:pPr>
              <w:pStyle w:val="Compact"/>
              <w:jc w:val="left"/>
            </w:pPr>
            <w:r>
              <w:rPr>
                <w:lang w:val="en"/>
              </w:rPr>
              <w:t xml:space="preserve">AQ-VA1</w:t>
            </w:r>
          </w:p>
        </w:tc>
        <w:tc>
          <w:tcPr/>
          <w:p>
            <w:pPr>
              <w:pStyle w:val="Compact"/>
              <w:jc w:val="left"/>
            </w:pPr>
            <w:r>
              <w:rPr>
                <w:lang w:val="en"/>
              </w:rPr>
              <w:t xml:space="preserve">One resource-rent formula; normal return on produced capital deducted once; rent not negative; an unmanaged stock carries zero core value</w:t>
            </w:r>
          </w:p>
        </w:tc>
        <w:tc>
          <w:tcPr/>
          <w:p>
            <w:pPr>
              <w:pStyle w:val="Compact"/>
              <w:jc w:val="left"/>
            </w:pPr>
            <w:r>
              <w:rPr>
                <w:lang w:val="en"/>
              </w:rPr>
              <w:t xml:space="preserve">Zero, to rounding</w:t>
            </w:r>
          </w:p>
        </w:tc>
        <w:tc>
          <w:tcPr/>
          <w:p>
            <w:pPr>
              <w:pStyle w:val="Compact"/>
              <w:jc w:val="left"/>
            </w:pPr>
            <w:r>
              <w:rPr>
                <w:lang w:val="en"/>
              </w:rPr>
              <w:t xml:space="preserve">TG-3.1; TG-6.7</w:t>
            </w:r>
          </w:p>
        </w:tc>
      </w:tr>
      <w:tr>
        <w:tc>
          <w:tcPr/>
          <w:p>
            <w:pPr>
              <w:pStyle w:val="Compact"/>
              <w:jc w:val="left"/>
            </w:pPr>
            <w:r>
              <w:rPr>
                <w:lang w:val="en"/>
              </w:rPr>
              <w:t xml:space="preserve">AQ-VA2</w:t>
            </w:r>
          </w:p>
        </w:tc>
        <w:tc>
          <w:tcPr/>
          <w:p>
            <w:pPr>
              <w:pStyle w:val="Compact"/>
              <w:jc w:val="left"/>
            </w:pPr>
            <w:r>
              <w:rPr>
                <w:lang w:val="en"/>
              </w:rPr>
              <w:t xml:space="preserve">Condition adjustment applied once, at the service-flow step; the chain audited from flow to value</w:t>
            </w:r>
          </w:p>
        </w:tc>
        <w:tc>
          <w:tcPr/>
          <w:p>
            <w:pPr>
              <w:pStyle w:val="Compact"/>
              <w:jc w:val="left"/>
            </w:pPr>
            <w:r>
              <w:rPr>
                <w:lang w:val="en"/>
              </w:rPr>
              <w:t xml:space="preserve">Equal to the index</w:t>
            </w:r>
          </w:p>
        </w:tc>
        <w:tc>
          <w:tcPr/>
          <w:p>
            <w:pPr>
              <w:pStyle w:val="Compact"/>
              <w:jc w:val="left"/>
            </w:pPr>
            <w:r>
              <w:rPr>
                <w:lang w:val="en"/>
              </w:rPr>
              <w:t xml:space="preserve">TG-3.1 Section 3.5.3</w:t>
            </w:r>
          </w:p>
        </w:tc>
      </w:tr>
      <w:tr>
        <w:tc>
          <w:tcPr/>
          <w:p>
            <w:pPr>
              <w:pStyle w:val="Compact"/>
              <w:jc w:val="left"/>
            </w:pPr>
            <w:r>
              <w:rPr>
                <w:lang w:val="en"/>
              </w:rPr>
              <w:t xml:space="preserve">AQ-VA3</w:t>
            </w:r>
          </w:p>
        </w:tc>
        <w:tc>
          <w:tcPr/>
          <w:p>
            <w:pPr>
              <w:pStyle w:val="Compact"/>
              <w:jc w:val="left"/>
            </w:pPr>
            <w:r>
              <w:rPr>
                <w:lang w:val="en"/>
              </w:rPr>
              <w:t xml:space="preserve">Linear degradation shortcut only where the decline is at most 0.20, no thresholds are documented, and one service exceeds 70% of annual flow value</w:t>
            </w:r>
          </w:p>
        </w:tc>
        <w:tc>
          <w:tcPr/>
          <w:p>
            <w:pPr>
              <w:pStyle w:val="Compact"/>
              <w:jc w:val="left"/>
            </w:pPr>
            <w:r>
              <w:rPr>
                <w:lang w:val="en"/>
              </w:rPr>
              <w:t xml:space="preserve">0.20; 70%</w:t>
            </w:r>
          </w:p>
        </w:tc>
        <w:tc>
          <w:tcPr/>
          <w:p>
            <w:pPr>
              <w:pStyle w:val="Compact"/>
              <w:jc w:val="left"/>
            </w:pPr>
            <w:r>
              <w:rPr>
                <w:lang w:val="en"/>
              </w:rPr>
              <w:t xml:space="preserve">TG-3.1 Section 3.5.3</w:t>
            </w:r>
          </w:p>
        </w:tc>
      </w:tr>
      <w:tr>
        <w:tc>
          <w:tcPr/>
          <w:p>
            <w:pPr>
              <w:pStyle w:val="Compact"/>
              <w:jc w:val="left"/>
            </w:pPr>
            <w:r>
              <w:rPr>
                <w:lang w:val="en"/>
              </w:rPr>
              <w:t xml:space="preserve">AQ-VA4</w:t>
            </w:r>
          </w:p>
        </w:tc>
        <w:tc>
          <w:tcPr/>
          <w:p>
            <w:pPr>
              <w:pStyle w:val="Compact"/>
              <w:jc w:val="left"/>
            </w:pPr>
            <w:r>
              <w:rPr>
                <w:lang w:val="en"/>
              </w:rPr>
              <w:t xml:space="preserve">Horizon and trajectory stated; a perpetuity justified; a declining condition projected or the reason it is not recorded</w:t>
            </w:r>
          </w:p>
        </w:tc>
        <w:tc>
          <w:tcPr/>
          <w:p>
            <w:pPr>
              <w:pStyle w:val="Compact"/>
              <w:jc w:val="left"/>
            </w:pPr>
            <w:r>
              <w:rPr>
                <w:lang w:val="en"/>
              </w:rPr>
              <w:t xml:space="preserve">Stated</w:t>
            </w:r>
          </w:p>
        </w:tc>
        <w:tc>
          <w:tcPr/>
          <w:p>
            <w:pPr>
              <w:pStyle w:val="Compact"/>
              <w:jc w:val="left"/>
            </w:pPr>
            <w:r>
              <w:rPr>
                <w:lang w:val="en"/>
              </w:rPr>
              <w:t xml:space="preserve">TG-3.1 Section 3.5.3</w:t>
            </w:r>
          </w:p>
        </w:tc>
      </w:tr>
      <w:tr>
        <w:tc>
          <w:tcPr/>
          <w:p>
            <w:pPr>
              <w:pStyle w:val="Compact"/>
              <w:jc w:val="left"/>
            </w:pPr>
            <w:r>
              <w:rPr>
                <w:lang w:val="en"/>
              </w:rPr>
              <w:t xml:space="preserve">AQ-VA5</w:t>
            </w:r>
          </w:p>
        </w:tc>
        <w:tc>
          <w:tcPr/>
          <w:p>
            <w:pPr>
              <w:pStyle w:val="Compact"/>
              <w:jc w:val="left"/>
            </w:pPr>
            <w:r>
              <w:rPr>
                <w:lang w:val="en"/>
              </w:rPr>
              <w:t xml:space="preserve">Discount rate and source stated; sensitivity at three or more rates</w:t>
            </w:r>
          </w:p>
        </w:tc>
        <w:tc>
          <w:tcPr/>
          <w:p>
            <w:pPr>
              <w:pStyle w:val="Compact"/>
              <w:jc w:val="left"/>
            </w:pPr>
            <w:r>
              <w:rPr>
                <w:lang w:val="en"/>
              </w:rPr>
              <w:t xml:space="preserve">Three or more rates</w:t>
            </w:r>
          </w:p>
        </w:tc>
        <w:tc>
          <w:tcPr/>
          <w:p>
            <w:pPr>
              <w:pStyle w:val="Compact"/>
              <w:jc w:val="left"/>
            </w:pPr>
            <w:r>
              <w:rPr>
                <w:lang w:val="en"/>
              </w:rPr>
              <w:t xml:space="preserve">TG-1.9</w:t>
            </w:r>
          </w:p>
        </w:tc>
      </w:tr>
      <w:tr>
        <w:tc>
          <w:tcPr/>
          <w:p>
            <w:pPr>
              <w:pStyle w:val="Compact"/>
              <w:jc w:val="left"/>
            </w:pPr>
            <w:r>
              <w:rPr>
                <w:lang w:val="en"/>
              </w:rPr>
              <w:t xml:space="preserve">AQ-VA6</w:t>
            </w:r>
          </w:p>
        </w:tc>
        <w:tc>
          <w:tcPr/>
          <w:p>
            <w:pPr>
              <w:pStyle w:val="Compact"/>
              <w:jc w:val="left"/>
            </w:pPr>
            <w:r>
              <w:rPr>
                <w:lang w:val="en"/>
              </w:rPr>
              <w:t xml:space="preserve">Exchange values only, so no social cost of carbon or willingness to pay in a cell; one carbon price per account, under the TG-6.2 rule</w:t>
            </w:r>
          </w:p>
        </w:tc>
        <w:tc>
          <w:tcPr/>
          <w:p>
            <w:pPr>
              <w:pStyle w:val="Compact"/>
              <w:jc w:val="left"/>
            </w:pPr>
            <w:r>
              <w:rPr>
                <w:lang w:val="en"/>
              </w:rPr>
              <w:t xml:space="preserve">Exchange value only</w:t>
            </w:r>
          </w:p>
        </w:tc>
        <w:tc>
          <w:tcPr/>
          <w:p>
            <w:pPr>
              <w:pStyle w:val="Compact"/>
              <w:jc w:val="left"/>
            </w:pPr>
            <w:r>
              <w:rPr>
                <w:lang w:val="en"/>
              </w:rPr>
              <w:t xml:space="preserve">TG-1.9; TG-6.2</w:t>
            </w:r>
          </w:p>
        </w:tc>
      </w:tr>
      <w:tr>
        <w:tc>
          <w:tcPr/>
          <w:p>
            <w:pPr>
              <w:pStyle w:val="Compact"/>
              <w:jc w:val="left"/>
            </w:pPr>
            <w:r>
              <w:rPr>
                <w:lang w:val="en"/>
              </w:rPr>
              <w:t xml:space="preserve">AQ-VA7</w:t>
            </w:r>
          </w:p>
        </w:tc>
        <w:tc>
          <w:tcPr/>
          <w:p>
            <w:pPr>
              <w:pStyle w:val="Compact"/>
              <w:jc w:val="left"/>
            </w:pPr>
            <w:r>
              <w:rPr>
                <w:lang w:val="en"/>
              </w:rPr>
              <w:t xml:space="preserve">Ecosystem contribution only; nursery and other intermediate services excluded; no licence fees or gross revenue</w:t>
            </w:r>
          </w:p>
        </w:tc>
        <w:tc>
          <w:tcPr/>
          <w:p>
            <w:pPr>
              <w:pStyle w:val="Compact"/>
              <w:jc w:val="left"/>
            </w:pPr>
            <w:r>
              <w:rPr>
                <w:lang w:val="en"/>
              </w:rPr>
              <w:t xml:space="preserve">Rule</w:t>
            </w:r>
          </w:p>
        </w:tc>
        <w:tc>
          <w:tcPr/>
          <w:p>
            <w:pPr>
              <w:pStyle w:val="Compact"/>
              <w:jc w:val="left"/>
            </w:pPr>
            <w:r>
              <w:rPr>
                <w:lang w:val="en"/>
              </w:rPr>
              <w:t xml:space="preserve">TG-3.2</w:t>
            </w:r>
          </w:p>
        </w:tc>
      </w:tr>
    </w:tbl>
    <w:p>
      <w:pPr>
        <w:pStyle w:val="BodyText"/>
      </w:pPr>
      <w:r>
        <w:rPr>
          <w:lang w:val="en"/>
        </w:rPr>
        <w:t xml:space="preserve">¶4</w:t>
      </w:r>
      <w:r>
        <w:rPr>
          <w:lang w:val="en"/>
        </w:rPr>
        <w:t xml:space="preserve"> </w:t>
      </w:r>
      <w:r>
        <w:rPr>
          <w:iCs/>
          <w:i/>
          <w:lang w:val="en"/>
        </w:rPr>
        <w:t xml:space="preserve">Table 3.16.4: General QC checks for asset accounts. Indicative tolerances are for national plans to replace; those not taken from a rule owner are GOAP proposals.</w:t>
      </w:r>
    </w:p>
    <w:p>
      <w:pPr>
        <w:pStyle w:val="BodyText"/>
      </w:pPr>
      <w:r>
        <w:rPr>
          <w:lang w:val="en"/>
        </w:rPr>
        <w:t xml:space="preserve">¶5</w:t>
      </w:r>
      <w:r>
        <w:rPr>
          <w:lang w:val="en"/>
        </w:rPr>
        <w:t xml:space="preserve"> </w:t>
      </w:r>
      <w:r>
        <w:rPr>
          <w:lang w:val="en"/>
        </w:rPr>
        <w:t xml:space="preserve">Two of the rules these checks test are easier to follow as diagrams. Figure 3.16.2 is the routing rule behind AQ-RT1: which row a change enters, depending on what the event did. Figure 3.16.3 is the trace behind AQ-PM3, AQ-PM4 and AQ-VA2: how each monetary depletion and degradation entry is recomputed from a physical one, and the single point at which the condition index enters.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85" name="Picture"/>
                  <a:graphic>
                    <a:graphicData uri="http://schemas.openxmlformats.org/drawingml/2006/picture">
                      <pic:pic>
                        <pic:nvPicPr>
                          <pic:cNvPr descr="data:image/svg+xml;base64,PHN2ZyB2aWV3Ym94PSIwIDAgOTAwIDcwMCIgeG1sbnM9Imh0dHA6Ly93d3cudzMub3JnLzIwMDAvc3ZnIiByb2xlPSJpbWciIGFyaWEtbGFiZWxsZWRieT0iZmlndGl0bGUgZmlnZGVzYyI+CiAgICAgICAgPHRpdGxlIGlkPSJmaWctdGctMy0xNi0yLXJvdXRpbmctdHJlZS1maWd0aXRsZSI+VEctMy4xNiAtLSBSb3V0aW5nIHRyZWU6IHdoaWNoIGFjY291bnQgcm93IGEgY2hhbmdlIGluIGFuIGVjb3N5c3RlbSBhc3NldCBlbnRlcnM8L3RpdGxlPgogICAgICAgIDxkZXNjIGlkPSJmaWctdGctMy0xNi0yLXJvdXRpbmctdHJlZS1maWdkZXNjIj5BIGRlY2lzaW9uIHRyZWUgZm9yIGEgY2hhbmdlIGluIGFuIGVjb3N5c3RlbSBhc3NldCwgYXNrZWQgaW4gb3JkZXIsIHN0b3BwaW5nIGF0IHRoZSBmaXJzdCB5ZXMuIFF1ZXN0aW9uIDE6IGRpZCB0aGUgYXJlYSBsZWF2ZSB0aGUgYWNjb3VudGluZyBhcmVhPyBJZiB5ZXMsIHJlY29yZCBhIHJlZHVjdGlvbiBpbiBleHRlbnQgdG9nZXRoZXIgd2l0aCBhIHJlY29yZGVkIGNoYW5nZSB0byB0aGUgYWNjb3VudGluZy1hcmVhIGJvdW5kYXJ5IChjaGVjayBBUS1JRDQpLiBJZiBubywgcXVlc3Rpb24gMjogZGlkIHRoZSBlY29zeXN0ZW0gdHlwZSBjaGFuZ2UgYXQgdGhhdCBsb2NhdGlvbj8gSWYgeWVzLCBpdCBpcyBhbiBlY29zeXN0ZW0gY29udmVyc2lvbiwgcmVjb3JkZWQgaW4gdGhlIHJlY2xhc3NpZmljYXRpb24gYmxvY2sgb2YgdGhlIGV4dGVudCBhY2NvdW50LCB3aGljaCBuZXRzIHRvIHplcm8gYWNyb3NzIGVjb3N5c3RlbSB0eXBlcywgYW5kIGFzIHRoZSBjb252ZXJzaW9uIGVudHJ5IGluIHRoZSBtb25ldGFyeSBhY2NvdW50LCB2YWx1ZWQgYXMgdGhlIGNvbnZlcnRlZCBleHRlbnQgbGVzcyB0aGUgdmFsdWUgb2YgdGhlIHR5cGUgdGhhdCByZXBsYWNlcyBpdCAoY2hlY2tzIEFRLUlENCBhbmQgQVEtRVYyKS4gSWYgbm8sIHF1ZXN0aW9uIDM6IHdhcyB0aGUgY29uZGl0aW9uIGxvc3MgY2F1c2VkIGJ5IGEgbGFyZ2Utc2NhbGUsIGRpc2NyZXRlIGV2ZW50IHN1Y2ggYXMgYSBjeWNsb25lLCBtYXNzIGJsZWFjaGluZyBvciBhbiBvaWwgc3BpbGwgKFNFRUEgRUEgcGFyYXMgMTAuMjQgYW5kIDEwLjM3KT8gSWYgeWVzLCBpdCBpcyBhIGNhdGFzdHJvcGhpYyBsb3NzLCByZWNvcmRlZCBpbiBvdGhlciBjaGFuZ2VzIGluIHZvbHVtZTsgZXh0ZW50IGNoYW5nZXMgb25seSBpZiB0aGUgZGFtYWdlIG91dGxhc3RzIHRoZSByZWdyb3d0aCBob3Jpem9uLiBJZiBubywgdGhlIGNoYW5nZSBpcyBhIGdyYWR1YWwgZGVjbGluZSBmcm9tIG9uZ29pbmcgdXNlIGFuZCBtYW5hZ2VtZW50LCByZWNvcmRlZCBhcyBlY29zeXN0ZW0gZGVncmFkYXRpb24gKFNFRUEgRUEgcGFyYXMgMTAuMjIgdG8gMTAuMjMpIGFuZCB2YWx1ZWQgYXMgdGhlIGRlY2xpbmUgaW4gdGhlIGNvbmRpdGlvbiBpbmRleCB0aW1lcyB0aGUgcHJlc2VudCB2YWx1ZSBvZiB0aGUgYWZmZWN0ZWQgc2VydmljZXMgKGNoZWNrIEFRLVBNNCkuIEEgY2FsbG91dCB3YXJucyB0aGF0IHJvdXRpbmcgYSBkaXNhc3RlciBpbnRvIGRlZ3JhZGF0aW9uIG92ZXJzdGF0ZXMgdGhlIGVudHJ5IHRoYXQgZmVlZHMgYWRqdXN0ZWQgaW5jb21lIChURy0zLjEpLiBXaGVyZSBjb25kaXRpb24gcm9zZSByYXRoZXIgdGhhbiBmZWxsLCB0aGUgY2hhbmdlIGlzIGVjb3N5c3RlbSBlbmhhbmNlbWVudC4gQSBzaWRlIGJyYW5jaCBjb3ZlcnMgcGxhbnRpbmcgb3IgcmVzdG9yYXRpb246IGl0IGVudGVycyBleHRlbnQgYXMgYSBtYW5hZ2VkIGV4cGFuc2lvbiBvbmx5IGFmdGVyIHRoZSB5ZWFyLTMgc3Vydml2YWwgY2hlY2sgKFRHLTYuMjsgY2hlY2sgQVEtUlQ0KTsgYmVmb3JlIHRoYXQgY2hlY2ssIGFueSBjb25kaXRpb24gZ2FpbiBpcyByZWNvcmRlZCBhcyBlbmhhbmNlbWVudC4gQSBub3RlIHJlY29yZHMgdGhhdCBmb3IgaW5kaXZpZHVhbCBlbnZpcm9ubWVudGFsIGFzc2V0cyB1bmRlciB0aGUgU0VFQSBDZW50cmFsIEZyYW1ld29yaywgY2F0YXN0cm9waGljIGxvc3NlcyBhcmUgYSBuYW1lZCByZWR1Y3Rpb24gbGluZSAoU0VFQSBDRiBwYXJhIDUuNDkoYykpLCB3aGlsZSBpbiBhbiBlY29zeXN0ZW0gZXh0ZW50IGFjY291bnQgdGhleSBhcmUgcmVwb3J0ZWQgYXMgYW4gaWRlbnRpZmllZCBjb21wb25lbnQgb2YgdW5tYW5hZ2VkIGNvbnRyYWN0aW9uLjwvZGVzYz4KCiAgICAgICAgPGRlZnM+CiAgICAgICAgICA8bWFya2VyIGlkPSJmaWctdGctMy0xNi0yLXJvdXRpbmctdHJlZS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N0YXJ0IC0tPgogICAgICAgIDxyZWN0IHg9IjcwIiB5PSIxNiIgd2lkdGg9IjI4MCIgaGVpZ2h0PSIzNiIgY2xhc3M9Im4tYW5jaG9yIiByeD0iNCI+PC9yZWN0PgogICAgICAgIDx0ZXh0IHg9IjIxMCIgeT0iMzgiIHRleHQtYW5jaG9yPSJtaWRkbGUiIGNsYXNzPSJub2RlLWxhYmVsIGFuY2hvciI+QSBjaGFuZ2UgaW4gYW4gZWNvc3lzdGVtIGFzc2V0PC90ZXh0PgogICAgICAgIDxwYXRoIGQ9Ik0yMTAsNTIgTDIxMCw3OCIgY2xhc3M9ImVkZ2UiIG1hcmtlci1lbmQ9InVybCgjZmlnLXRnLTMtMTYtMi1yb3V0aW5nLXRyZWUtYXJyb3cpIj48L3BhdGg+CgogICAgICAgIDwhLS0gPT09PT0gUTEgPT09PT0gLS0+CiAgICAgICAgPHJlY3QgeD0iNTAiIHk9IjgwIiB3aWR0aD0iMzIwIiBoZWlnaHQ9IjUyIiBjbGFzcz0ibi1kZWNpc2lvbiIgcng9IjQiPjwvcmVjdD4KICAgICAgICA8dGV4dCB4PSIyMTAiIHk9IjEwMyIgdGV4dC1hbmNob3I9Im1pZGRsZSIgY2xhc3M9Im5vZGUtbGFiZWwgYW5jaG9yIj4xLiBEaWQgdGhlIGFyZWEgbGVhdmUgdGhlPHRzcGFuIHg9IjIxMCIgZHk9IjE1Ij5hY2NvdW50aW5nIGFyZWE/PC90c3Bhbj48L3RleHQ+CgogICAgICAgIDxwYXRoIGQ9Ik0zNzAsMTA2IEw0NjgsMTA2IiBjbGFzcz0iZWRnZSIgbWFya2VyLWVuZD0idXJsKCNmaWctdGctMy0xNi0yLXJvdXRpbmctdHJlZS1hcnJvdykiPjwvcGF0aD4KICAgICAgICA8cmVjdCB4PSI0MDQiIHk9IjkyIiB3aWR0aD0iMzAiIGhlaWdodD0iMTQiIGNsYXNzPSJlZGdlLWxhYmVsLWJnIj48L3JlY3Q+CiAgICAgICAgPHRleHQgeD0iNDE5IiB5PSIxMDMiIHRleHQtYW5jaG9yPSJtaWRkbGUiIGNsYXNzPSJlZGdlLWxhYmVsIHluIj5ZZXM8L3RleHQ+CgogICAgICAgIDxyZWN0IHg9IjQ3MCIgeT0iNzgiIHdpZHRoPSIzOTAiIGhlaWdodD0iNTYiIGNsYXNzPSJuLXByb2Nlc3MiIHJ4PSI0Ij48L3JlY3Q+CiAgICAgICAgPHRleHQgeD0iNDg2IiB5PSI5OSIgY2xhc3M9Im5vZGUtbGFiZWwgYW5jaG9yIj5SZWR1Y3Rpb24gaW4gZXh0ZW50PC90ZXh0PgogICAgICAgIDx0ZXh0IHg9IjQ4NiIgeT0iMTE1IiBjbGFzcz0ibm9kZS1kZXNjIj5BcmVhIGxvc3QgZnJvbSB0aGUgYWNjb3VudGluZyBhcmVhIGFsdG9nZXRoZXIsIHdpdGggYSByZWNvcmRlZDwvdGV4dD4KICAgICAgICA8dGV4dCB4PSI0ODYiIHk9IjEyNyIgY2xhc3M9Im5vZGUtZGVzYyI+Y2hhbmdlIHRvIHRoZSBhY2NvdW50aW5nLWFyZWEgYm91bmRhcnk8L3RleHQ+CiAgICAgICAgPHRleHQgeD0iODQ4IiB5PSI5OSIgdGV4dC1hbmNob3I9ImVuZCIgY2xhc3M9ImNoZWNrLXRhZyI+QVEtSUQ0PC90ZXh0PgoKICAgICAgICA8cGF0aCBkPSJNMjEwLDEzMiBMMjEwLDE3MCIgY2xhc3M9ImVkZ2UiIG1hcmtlci1lbmQ9InVybCgjZmlnLXRnLTMtMTYtMi1yb3V0aW5nLXRyZWUtYXJyb3cpIj48L3BhdGg+CiAgICAgICAgPHJlY3QgeD0iMTk3IiB5PSIxNDQiIHdpZHRoPSIyNiIgaGVpZ2h0PSIxNCIgY2xhc3M9ImVkZ2UtbGFiZWwtYmciPjwvcmVjdD4KICAgICAgICA8dGV4dCB4PSIyMTAiIHk9IjE1NSIgdGV4dC1hbmNob3I9Im1pZGRsZSIgY2xhc3M9ImVkZ2UtbGFiZWwgeW4iPk5vPC90ZXh0PgoKICAgICAgICA8IS0tID09PT09IFEyID09PT09IC0tPgogICAgICAgIDxyZWN0IHg9IjUwIiB5PSIxNzIiIHdpZHRoPSIzMjAiIGhlaWdodD0iNTIiIGNsYXNzPSJuLWRlY2lzaW9uIiByeD0iNCI+PC9yZWN0PgogICAgICAgIDx0ZXh0IHg9IjIxMCIgeT0iMTk1IiB0ZXh0LWFuY2hvcj0ibWlkZGxlIiBjbGFzcz0ibm9kZS1sYWJlbCBhbmNob3IiPjIuIERpZCB0aGUgZWNvc3lzdGVtIHR5cGUgY2hhbmdlPHRzcGFuIHg9IjIxMCIgZHk9IjE1Ij5hdCB0aGF0IGxvY2F0aW9uPzwvdHNwYW4+PC90ZXh0PgoKICAgICAgICA8cGF0aCBkPSJNMzcwLDE5OCBMNDY4LDE5OCIgY2xhc3M9ImVkZ2UiIG1hcmtlci1lbmQ9InVybCgjZmlnLXRnLTMtMTYtMi1yb3V0aW5nLXRyZWUtYXJyb3cpIj48L3BhdGg+CiAgICAgICAgPHJlY3QgeD0iNDA0IiB5PSIxODQiIHdpZHRoPSIzMCIgaGVpZ2h0PSIxNCIgY2xhc3M9ImVkZ2UtbGFiZWwtYmciPjwvcmVjdD4KICAgICAgICA8dGV4dCB4PSI0MTkiIHk9IjE5NSIgdGV4dC1hbmNob3I9Im1pZGRsZSIgY2xhc3M9ImVkZ2UtbGFiZWwgeW4iPlllczwvdGV4dD4KCiAgICAgICAgPHJlY3QgeD0iNDcwIiB5PSIxNjIiIHdpZHRoPSIzOTAiIGhlaWdodD0iNzIiIGNsYXNzPSJuLXByb2Nlc3MiIHJ4PSI0Ij48L3JlY3Q+CiAgICAgICAgPHRleHQgeD0iNDg2IiB5PSIxODMiIGNsYXNzPSJub2RlLWxhYmVsIGFuY2hvciI+RWNvc3lzdGVtIGNvbnZlcnNpb248L3RleHQ+CiAgICAgICAgPHRleHQgeD0iNDg2IiB5PSIxOTkiIGNsYXNzPSJub2RlLWRlc2MiPkV4dGVudDogcmVjbGFzc2lmaWNhdGlvbiBibG9jayBvZiB0aGUgZXh0ZW50IGFjY291bnQsIG5ldHRpbmcgdG88L3RleHQ+CiAgICAgICAgPHRleHQgeD0iNDg2IiB5PSIyMTEiIGNsYXNzPSJub2RlLWRlc2MiPnplcm8gYWNyb3NzIGVjb3N5c3RlbSB0eXBlcy4gTW9uZXRhcnk6IGNvbnZlcnNpb24gZW50cnksIHZhbHVlZCBhczwvdGV4dD4KICAgICAgICA8dGV4dCB4PSI0ODYiIHk9IjIyMyIgY2xhc3M9Im5vZGUtZGVzYyI+dGhlIGNvbnZlcnRlZCBleHRlbnQgbGVzcyB0aGUgdmFsdWUgb2YgdGhlIHR5cGUgdGhhdCByZXBsYWNlcyBpdDwvdGV4dD4KICAgICAgICA8dGV4dCB4PSI4NDgiIHk9IjE4MyIgdGV4dC1hbmNob3I9ImVuZCIgY2xhc3M9ImNoZWNrLXRhZyI+QVEtSUQ0LCBBUS1FVjI8L3RleHQ+CgogICAgICAgIDxwYXRoIGQ9Ik0yMTAsMjI0IEwyMTAsMjY2IiBjbGFzcz0iZWRnZSIgbWFya2VyLWVuZD0idXJsKCNmaWctdGctMy0xNi0yLXJvdXRpbmctdHJlZS1hcnJvdykiPjwvcGF0aD4KICAgICAgICA8cmVjdCB4PSIxOTciIHk9IjIzOCIgd2lkdGg9IjI2IiBoZWlnaHQ9IjE0IiBjbGFzcz0iZWRnZS1sYWJlbC1iZyI+PC9yZWN0PgogICAgICAgIDx0ZXh0IHg9IjIxMCIgeT0iMjQ5IiB0ZXh0LWFuY2hvcj0ibWlkZGxlIiBjbGFzcz0iZWRnZS1sYWJlbCB5biI+Tm88L3RleHQ+CgogICAgICAgIDwhLS0gPT09PT0gUTMgPT09PT0gLS0+CiAgICAgICAgPHJlY3QgeD0iNTAiIHk9IjI2OCIgd2lkdGg9IjMyMCIgaGVpZ2h0PSI2NiIgY2xhc3M9Im4tZGVjaXNpb24iIHJ4PSI0Ij48L3JlY3Q+CiAgICAgICAgPHRleHQgeD0iMjEwIiB5PSIyOTAiIHRleHQtYW5jaG9yPSJtaWRkbGUiIGNsYXNzPSJub2RlLWxhYmVsIGFuY2hvciI+My4gV2FzIHRoZSBjb25kaXRpb24gbG9zcyBjYXVzZWQgYnk8dHNwYW4geD0iMjEwIiBkeT0iMTUiPmEgbGFyZ2Utc2NhbGUsIGRpc2NyZXRlIGV2ZW50PzwvdHNwYW4+PC90ZXh0PgogICAgICAgIDx0ZXh0IHg9IjIxMCIgeT0iMzIyIiB0ZXh0LWFuY2hvcj0ibWlkZGxlIiBjbGFzcz0ibm9kZS1kZXNjIj5DeWNsb25lLCBtYXNzIGJsZWFjaGluZywgb2lsIHNwaWxsIChTRUVBIEVBIHBhcmFzIDEwLjI0LCAxMC4zNyk8L3RleHQ+CgogICAgICAgIDxwYXRoIGQ9Ik0zNzAsMzAxIEw0NjgsMzAxIiBjbGFzcz0iZWRnZSIgbWFya2VyLWVuZD0idXJsKCNmaWctdGctMy0xNi0yLXJvdXRpbmctdHJlZS1hcnJvdykiPjwvcGF0aD4KICAgICAgICA8cmVjdCB4PSI0MDQiIHk9IjI4NyIgd2lkdGg9IjMwIiBoZWlnaHQ9IjE0IiBjbGFzcz0iZWRnZS1sYWJlbC1iZyI+PC9yZWN0PgogICAgICAgIDx0ZXh0IHg9IjQxOSIgeT0iMjk4IiB0ZXh0LWFuY2hvcj0ibWlkZGxlIiBjbGFzcz0iZWRnZS1sYWJlbCB5biI+WWVzPC90ZXh0PgoKICAgICAgICA8cmVjdCB4PSI0NzAiIHk9IjI2NiIgd2lkdGg9IjM5MCIgaGVpZ2h0PSI3MCIgY2xhc3M9Im4tcHJvY2VzcyIgcng9IjQiPjwvcmVjdD4KICAgICAgICA8dGV4dCB4PSI0ODYiIHk9IjI4NyIgY2xhc3M9Im5vZGUtbGFiZWwgYW5jaG9yIj5DYXRhc3Ryb3BoaWMgbG9zczwvdGV4dD4KICAgICAgICA8dGV4dCB4PSI0ODYiIHk9IjMwMyIgY2xhc3M9Im5vZGUtZGVzYyI+T3RoZXIgY2hhbmdlcyBpbiB2b2x1bWU6IGEgbG9zcyBvZiBjb25kaXRpb24sIG5vdCBvZiBleHRlbnQuPC90ZXh0PgogICAgICAgIDx0ZXh0IHg9IjQ4NiIgeT0iMzE1IiBjbGFzcz0ibm9kZS1kZXNjIj5FeHRlbnQgY2hhbmdlcyBvbmx5IGlmIHRoZSBkYW1hZ2Ugb3V0bGFzdHMgdGhlIHJlZ3Jvd3RoIGhvcml6b247PC90ZXh0PgogICAgICAgIDx0ZXh0IHg9IjQ4NiIgeT0iMzI3IiBjbGFzcz0ibm9kZS1kZXNjIj5pZiB0aGUgdHlwZSBjaGFuZ2VkLCBxdWVzdGlvbiAyIGhhcyBhbHJlYWR5IHJvdXRlZCBpdCB0byBjb252ZXJzaW9uPC90ZXh0PgoKICAgICAgICA8cGF0aCBkPSJNMjEwLDMzNCBMMjEwLDM3NCIgY2xhc3M9ImVkZ2UiIG1hcmtlci1lbmQ9InVybCgjZmlnLXRnLTMtMTYtMi1yb3V0aW5nLXRyZWUtYXJyb3cpIj48L3BhdGg+CiAgICAgICAgPHJlY3QgeD0iMTk3IiB5PSIzNDYiIHdpZHRoPSIyNiIgaGVpZ2h0PSIxNCIgY2xhc3M9ImVkZ2UtbGFiZWwtYmciPjwvcmVjdD4KICAgICAgICA8dGV4dCB4PSIyMTAiIHk9IjM1NyIgdGV4dC1hbmNob3I9Im1pZGRsZSIgY2xhc3M9ImVkZ2UtbGFiZWwgeW4iPk5vPC90ZXh0PgoKICAgICAgICA8IS0tID09PT09IERlZ3JhZGF0aW9uID09PT09IC0tPgogICAgICAgIDxyZWN0IHg9IjUwIiB5PSIzNzYiIHdpZHRoPSIzMjAiIGhlaWdodD0iNzAiIGNsYXNzPSJuLXByb2Nlc3MiIHJ4PSI0Ij48L3JlY3Q+CiAgICAgICAgPHRleHQgeD0iNjYiIHk9IjM5NyIgY2xhc3M9Im5vZGUtbGFiZWwgYW5jaG9yIj5FY29zeXN0ZW0gZGVncmFkYXRpb248L3RleHQ+CiAgICAgICAgPHRleHQgeD0iMzU4IiB5PSIzOTciIHRleHQtYW5jaG9yPSJlbmQiIGNsYXNzPSJjaGVjay10YWciPkFRLVBNNDwvdGV4dD4KICAgICAgICA8dGV4dCB4PSI2NiIgeT0iNDEzIiBjbGFzcz0ibm9kZS1kZXNjIj5HcmFkdWFsIGRlY2xpbmUgZnJvbSBvbmdvaW5nIHVzZSBhbmQgbWFuYWdlbWVudDwvdGV4dD4KICAgICAgICA8dGV4dCB4PSI2NiIgeT0iNDI1IiBjbGFzcz0ibm9kZS1kZXNjIj4oU0VFQSBFQSBwYXJhcyAxMC4yMuKAkzEwLjIzKS4gVmFsdWVkIGFzIGNvbmRpdGlvbi1pbmRleDwvdGV4dD4KICAgICAgICA8dGV4dCB4PSI2NiIgeT0iNDM3IiBjbGFzcz0ibm9kZS1kZXNjIj5kZWNsaW5lIMOXIHByZXNlbnQgdmFsdWUgb2YgdGhlIGFmZmVjdGVkIHNlcnZpY2VzPC90ZXh0PgoKICAgICAgICA8IS0tIENhbGxvdXQ6IGRpc2FzdGVyIGlzIG5vdCBkZWdyYWRhdGlvbiAtLT4KICAgICAgICA8cGF0aCBkPSJNMzcwLDQxMSBMNDcwLDQxMSIgY2xhc3M9ImVkZ2UtZGFzaGVkIj48L3BhdGg+CiAgICAgICAgPHJlY3QgeD0iNDcwIiB5PSIzODQiIHdpZHRoPSIzOTAiIGhlaWdodD0iNTQiIGNsYXNzPSJncm91cC1yZWN0IiByeD0iNCI+PC9yZWN0PgogICAgICAgIDx0ZXh0IHg9IjQ4NiIgeT0iNDA2IiBjbGFzcz0iYW5ub3RhdGlvbiI+Um91dGluZyBhIGRpc2FzdGVyIGludG8gZGVncmFkYXRpb24gb3ZlcnN0YXRlcyB0aGU8L3RleHQ+CiAgICAgICAgPHRleHQgeD0iNDg2IiB5PSI0MjIiIGNsYXNzPSJhbm5vdGF0aW9uIj5lbnRyeSB0aGF0IGZlZWRzIGFkanVzdGVkIGluY29tZSAoVEctMy4xKS48L3RleHQ+CgogICAgICAgIDwhLS0gPT09PT0gRW5oYW5jZW1lbnQgPT09PT0gLS0+CiAgICAgICAgPHBhdGggZD0iTTIxMCw0NDYgTDIxMCw0ODYiIGNsYXNzPSJlZGdlLWRhc2hlZCIgbWFya2VyLWVuZD0idXJsKCNmaWctdGctMy0xNi0yLXJvdXRpbmctdHJlZS1hcnJvdykiPjwvcGF0aD4KICAgICAgICA8cmVjdCB4PSIyMTgiIHk9IjQ1OSIgd2lkdGg9IjEzMCIgaGVpZ2h0PSIxNCIgY2xhc3M9ImVkZ2UtbGFiZWwtYmciPjwvcmVjdD4KICAgICAgICA8dGV4dCB4PSIyMjIiIHk9IjQ3MCIgY2xhc3M9ImVkZ2UtbGFiZWwiPmlmIGNvbmRpdGlvbiByb3NlIGluc3RlYWQ8L3RleHQ+CgogICAgICAgIDxyZWN0IHg9IjUwIiB5PSI0ODgiIHdpZHRoPSIzMjAiIGhlaWdodD0iNDgiIGNsYXNzPSJuLXByb2Nlc3MiIHJ4PSI0Ij48L3JlY3Q+CiAgICAgICAgPHRleHQgeD0iNjYiIHk9IjUwOCIgY2xhc3M9Im5vZGUtbGFiZWwgYW5jaG9yIj5FY29zeXN0ZW0gZW5oYW5jZW1lbnQ8L3RleHQ+CiAgICAgICAgPHRleHQgeD0iNjYiIHk9IjUyNCIgY2xhc3M9Im5vZGUtZGVzYyI+QSBnYWluIGluIGNvbmRpdGlvbiwgdGhlIG1pcnJvciBvZiBkZWdyYWRhdGlvbjwvdGV4dD4KCiAgICAgICAgPCEtLSA9PT09PSBTaWRlIGJyYW5jaDogcGxhbnRpbmcgLyByZXN0b3JhdGlvbiA9PT09PSAtLT4KICAgICAgICA8cmVjdCB4PSI1MCIgeT0iNTc4IiB3aWR0aD0iMzIwIiBoZWlnaHQ9IjQ4IiBjbGFzcz0ibi1zZWNvbmRhcnkiIHJ4PSI0Ij48L3JlY3Q+CiAgICAgICAgPHRleHQgeD0iNjYiIHk9IjU5OCIgY2xhc3M9Im5vZGUtbGFiZWwgYW5jaG9yIj5TaWRlIGJyYW5jaDogcGxhbnRpbmcgb3IgcmVzdG9yYXRpb248L3RleHQ+CiAgICAgICAgPHRleHQgeD0iNjYiIHk9IjYxNCIgY2xhc3M9Im5vZGUtZGVzYyI+QSBuZXcgc3RhbmQgd2hvc2Ugc3Vydml2YWwgaXMgbm90IHlldCBrbm93bjwvdGV4dD4KCiAgICAgICAgPHBhdGggZD0iTTIxMCw1NzggTDIxMCw1MzgiIGNsYXNzPSJlZGdlLWRhc2hlZCIgbWFya2VyLWVuZD0idXJsKCNmaWctdGctMy0xNi0yLXJvdXRpbmctdHJlZS1hcnJvdykiPjwvcGF0aD4KICAgICAgICA8cmVjdCB4PSIyMTgiIHk9IjU1MCIgd2lkdGg9IjEwMCIgaGVpZ2h0PSIxNCIgY2xhc3M9ImVkZ2UtbGFiZWwtYmciPjwvcmVjdD4KICAgICAgICA8dGV4dCB4PSIyMjIiIHk9IjU2MSIgY2xhc3M9ImVkZ2UtbGFiZWwiPmJlZm9yZSB0aGUgY2hlY2s8L3RleHQ+CgogICAgICAgIDxwYXRoIGQ9Ik0zNzAsNjAyIEw0NjgsNjAyIiBjbGFzcz0iZWRnZSIgbWFya2VyLWVuZD0idXJsKCNmaWctdGctMy0xNi0yLXJvdXRpbmctdHJlZS1hcnJvdykiPjwvcGF0aD4KICAgICAgICA8cmVjdCB4PSIzNzYiIHk9IjU5NSIgd2lkdGg9Ijg2IiBoZWlnaHQ9IjE0IiBjbGFzcz0iZWRnZS1sYWJlbC1iZyI+PC9yZWN0PgogICAgICAgIDx0ZXh0IHg9IjQxOSIgeT0iNjA2IiB0ZXh0LWFuY2hvcj0ibWlkZGxlIiBjbGFzcz0iZWRnZS1sYWJlbCI+c3Vydml2ZXMgeWVhciAzPC90ZXh0PgoKICAgICAgICA8cmVjdCB4PSI0NzAiIHk9IjU3NCIgd2lkdGg9IjM5MCIgaGVpZ2h0PSI1NiIgY2xhc3M9Im4tcHJvY2VzcyIgcng9IjQiPjwvcmVjdD4KICAgICAgICA8dGV4dCB4PSI0ODYiIHk9IjU5NSIgY2xhc3M9Im5vZGUtbGFiZWwgYW5jaG9yIj5BZGRpdGlvbiB0byBleHRlbnQgKG1hbmFnZWQgZXhwYW5zaW9uKTwvdGV4dD4KICAgICAgICA8dGV4dCB4PSI4NDgiIHk9IjU5NSIgdGV4dC1hbmNob3I9ImVuZCIgY2xhc3M9ImNoZWNrLXRhZyI+QVEtUlQ0PC90ZXh0PgogICAgICAgIDx0ZXh0IHg9IjQ4NiIgeT0iNjExIiBjbGFzcz0ibm9kZS1kZXNjIj5FbnRlcnMgZXh0ZW50IG9ubHkgYWZ0ZXIgdGhlIHllYXItMyBzdXJ2aXZhbCBjaGVjayAoVEctNi4yKTwvdGV4dD4KCiAgICAgICAgPCEtLSA9PT09PSBDRiBub3RlID09PT09IC0tPgogICAgICAgIDxyZWN0IHg9IjUwIiB5PSI2NDgiIHdpZHRoPSI4MTAiIGhlaWdodD0iMzgiIGNsYXNzPSJuLW11dGVkIiByeD0iNCI+PC9yZWN0PgogICAgICAgIDx0ZXh0IHg9IjY2IiB5PSI2NjQiIGNsYXNzPSJub2RlLWRlc2MiPjx0c3BhbiBmb250LXdlaWdodD0iNjAwIiBmaWxsPSJ2YXIoLS1pbmspIj5JbmRpdmlkdWFsIGVudmlyb25tZW50YWwgYXNzZXRzIChTRUVBIENGKTo8L3RzcGFuPiBjYXRhc3Ryb3BoaWMgbG9zc2VzIGFyZSBhIG5hbWVkIHJlZHVjdGlvbiBsaW5lIChTRUVBIENGIHBhcmEgNS40OShjKSkuPC90ZXh0PgogICAgICAgIDx0ZXh0IHg9IjY2IiB5PSI2NzgiIGNsYXNzPSJub2RlLWRlc2MiPkluIGFuIGVjb3N5c3RlbSBleHRlbnQgYWNjb3VudCB0aGV5IGFyZSByZXBvcnRlZCBhcyBhbiBpZGVudGlmaWVkIGNvbXBvbmVudCBvZiB1bm1hbmFnZWQgY29udHJhY3Rpb24uPC90ZXh0PgogICAgICA8L3N2Zz4="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3.16.2</w:t>
            </w:r>
            <w:r>
              <w:rPr>
                <w:lang w:val="en"/>
              </w:rPr>
              <w:t xml:space="preserve"> </w:t>
            </w:r>
            <w:r>
              <w:rPr>
                <w:lang w:val="en"/>
              </w:rPr>
              <w:t xml:space="preserve">Where an event enters the account depends on what it did: moved the boundary, changed the type, or reduced condition suddenly or gradually. Ochre boxes are the questions, asked in order; green boxes are the account rows.</w:t>
            </w:r>
            <w:r>
              <w:rPr>
                <w:lang w:val="en"/>
              </w:rPr>
              <w:t xml:space="preserve"> </w:t>
            </w:r>
            <w:r>
              <w:rPr>
                <w:lang w:val="en"/>
              </w:rPr>
              <w:t xml:space="preserve">Source:</w:t>
            </w:r>
            <w:r>
              <w:rPr>
                <w:lang w:val="en"/>
              </w:rPr>
              <w:t xml:space="preserve"> </w:t>
            </w:r>
            <w:r>
              <w:rPr>
                <w:lang w:val="en"/>
              </w:rPr>
              <w:t xml:space="preserve">TG-3.1 Sections 3.5.1 and 3.5.3; SEEA EA paras 4.15, 10.22–10.23, 10.24, 10.37.</w:t>
            </w:r>
            <w:r>
              <w:rPr>
                <w:lang w:val="en"/>
              </w:rPr>
              <w:t xml:space="preserve"> </w:t>
            </w:r>
            <w:r>
              <w:rPr>
                <w:lang w:val="en"/>
              </w:rPr>
              <w:t xml:space="preserve">Note:</w:t>
            </w:r>
            <w:r>
              <w:rPr>
                <w:lang w:val="en"/>
              </w:rPr>
              <w:t xml:space="preserve"> </w:t>
            </w:r>
            <w:r>
              <w:rPr>
                <w:lang w:val="en"/>
              </w:rPr>
              <w:t xml:space="preserve">Storm damage changes extent only beyond the regrowth horizon; planting enters extent after the year-3 survival check (TG-6.2).</w:t>
            </w:r>
          </w:p>
        </w:tc>
      </w:tr>
    </w:tbl>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88" name="Picture"/>
                  <a:graphic>
                    <a:graphicData uri="http://schemas.openxmlformats.org/drawingml/2006/picture">
                      <pic:pic>
                        <pic:nvPicPr>
                          <pic:cNvPr descr="data:image/svg+xml;base64,PHN2ZyB2aWV3Ym94PSIwIDAgOTIwIDcwMCIgeG1sbnM9Imh0dHA6Ly93d3cudzMub3JnLzIwMDAvc3ZnIiByb2xlPSJpbWciIGFyaWEtbGFiZWxsZWRieT0iZmlndGl0bGUgZmlnZGVzYyI+CiAgICAgICAgPHRpdGxlIGlkPSJmaWctdGctMy0xNi0zLXBoeXNpY2FsLW1vbmV0YXJ5LXRyYWNlLWZpZ3RpdGxlIj5URy0zLjE2IC0tIEhvdyBhIHBoeXNpY2FsIGVudHJ5IHRyYWNlcyB0byBhIG1vbmV0YXJ5IGVudHJ5IGZvciBpbmRpdmlkdWFsIGVudmlyb25tZW50YWwgYXNzZXRzIGFuZCBlY29zeXN0ZW0gYXNzZXRzPC90aXRsZT4KICAgICAgICA8ZGVzYyBpZD0iZmlnLXRnLTMtMTYtMy1waHlzaWNhbC1tb25ldGFyeS10cmFjZS1maWdkZXNjIj5Ud28gcGFyYWxsZWwgbGFuZXMuIExhbmUgMSwgYW4gaW5kaXZpZHVhbCBlbnZpcm9ubWVudGFsIGFzc2V0IHVuZGVyIHRoZSBTRUVBIENlbnRyYWwgRnJhbWV3b3JrIHN1Y2ggYXMgYSBmaXNoIHN0b2NrOiB0aGUgb3BlbmluZyBhbmQgY2xvc2luZyBzdG9jayBvZiBiaW9tYXNzIGdpdmVzIHRoZSBzdXN0YWluYWJsZSB5aWVsZCBhdCBjdXJyZW50IGJpb21hc3M7IGV4dHJhY3Rpb24sIHRoZSBncm9zcyBjYXRjaCwgaXMgY29tcGFyZWQgd2l0aCBpdCwgYW5kIHBoeXNpY2FsIGRlcGxldGlvbiBlcXVhbHMgdGhlIGdyZWF0ZXIgb2YgemVybyBhbmQgZXh0cmFjdGlvbiBtaW51cyBzdXN0YWluYWJsZSB5aWVsZCBmb3IgYSByZW5ld2FibGUgcmVzb3VyY2UsIG9yIGVxdWFscyBleHRyYWN0aW9uIGZvciBhIG5vbi1yZW5ld2FibGUgcmVzb3VyY2UgKGNoZWNrIEFRLVBNMykuIFBoeXNpY2FsIGRlcGxldGlvbiBpcyBtdWx0aXBsaWVkIGJ5IHRoZSBtaWQtcGVyaW9kIHByaWNlIHBlciB0b25uZSBvZiBzdG9jaywgdGhlIGF2ZXJhZ2Ugb2Ygb3BlbmluZyBhbmQgY2xvc2luZyBwcmljZXMsIHRvIGdpdmUgbW9uZXRhcnkgZGVwbGV0aW9uLCBhIG1lbW9yYW5kdW0gZW50cnksIHdoaWNoIG11c3QgZXF1YWwgdGhlIGRlcGxldGlvbiBkZWR1Y3RlZCBpbiBuZXQgZG9tZXN0aWMgcHJvZHVjdCAoY2hlY2sgQVEtUkMyKS4gTGFuZSAyLCBhbiBlY29zeXN0ZW0gYXNzZXQgdW5kZXIgU0VFQSBFY29zeXN0ZW0gQWNjb3VudGluZyBzdWNoIGFzIG1hbmdyb3ZlOiBjb25kaXRpb24gdmFyaWFibGVzIChUYWJsZSAzYSkgYXJlIHJlc2NhbGVkIHRvIGluZGljYXRvcnMgYmV0d2VlbiAwIGFuZCAxIGZvbGxvd2luZyBURy0yLjEgKFRhYmxlIDNiKSBhbmQgY29tYmluZWQgaW50byBhIGNvbmRpdGlvbiBpbmRleCAoVGFibGUgM2MpLiBUaGUgaW5kZXggZGVjbGluZSwgb3BlbmluZyBtaW51cyBjbG9zaW5nIGluIGFic29sdXRlIGluZGV4IHBvaW50cywgbXVsdGlwbGllZCBieSB0aGUgcHJlc2VudCB2YWx1ZSBvZiB0aGUgYWZmZWN0ZWQgc2VydmljZXMgYXQgcmVmZXJlbmNlIGNvbmRpdGlvbiwgZ2l2ZXMgdGhlIGRlZ3JhZGF0aW9uIGVudHJ5IChjaGVjayBBUS1QTTQpLiBTZXBhcmF0ZWx5LCB0aGUgcmVmZXJlbmNlIHNlcnZpY2UgcmF0ZSBtdWx0aXBsaWVkIGJ5IHRoZSBjb25kaXRpb24gaW5kZXggZ2l2ZXMgdGhlIGNvbmRpdGlvbi1hZGp1c3RlZCBzZXJ2aWNlIGZsb3c7IHRoaXMgaXMgdGhlIHNpbmdsZSBwb2ludCB3aGVyZSB0aGUgY29uZGl0aW9uIGluZGV4IGVudGVycyB0aGUgdmFsdWF0aW9uLiBUaGUgc2VydmljZSBmbG93IGlzIGRpc2NvdW50ZWQsIGF0IGEgc3RhdGVkIHJhdGUgb3ZlciBhIHBlcnBldHVpdHkgb3IgZmluaXRlIGhvcml6b24sIHRvIGdpdmUgdGhlIGFzc2V0IHZhbHVlLiBBIHNlY29uZCwgc3RydWNrLXRocm91Z2ggYXJyb3cgZnJvbSB0aGUgY29uZGl0aW9uIGluZGV4IHRvIHRoZSBkaXNjb3VudGluZyBzdGVwIG1hcmtzIGFuIGVycm9yOiB0aGUgaW5kZXggbXVzdCBub3QgYmUgYXBwbGllZCBhZ2FpbiBhdCB0aGUgZGlzY291bnQgc3RlcCwgYmVjYXVzZSB0aGF0IHNxdWFyZXMgdGhlIGFkanVzdG1lbnQgKGNoZWNrIEFRLVZBMikuIE1lYXN1cmVkIGNhcmJvbiBzdG9ja3MgYXJlIG5vdCBzY2FsZWQgYnkgdGhlIGNvbmRpdGlvbiBpbmRleCAoY2hlY2sgQVEtQ082KS4gU3RvY2tzIGFyZSBkcmF3biBhcyBwbGFpbiByZWN0YW5nbGVzIGFuZCBmbG93cyBhcyBjaGV2cm9uLXRhaWxlZCBvdXRsaW5lcy48L2Rlc2M+CgogICAgICAgIDxkZWZzPgogICAgICAgICAgPG1hcmtlciBpZD0iZmlnLXRnLTMtMTYtMy1waHlzaWNhbC1tb25ldGFyeS10cmFjZS1hcnJvdyIgdmlld2JveD0iMCAwIDEwIDEwIiByZWZ4PSI5IiByZWZ5PSI1IiBtYXJrZXJ3aWR0aD0iNyIgbWFya2VyaGVpZ2h0PSI3IiBvcmllbnQ9ImF1dG8tc3RhcnQtcmV2ZXJzZSI+CiAgICAgICAgICAgIDxwYXRoIGQ9Ik0wLDAgTDEwLDUgTDAsMTAgeiIgZmlsbD0idmFyKC0taW5rLW11dGVkKSI+PC9wYXRoPgogICAgICAgICAgPC9tYXJrZXI+CiAgICAgICAgICA8bWFya2VyIGlkPSJmaWctdGctMy0xNi0zLXBoeXNpY2FsLW1vbmV0YXJ5LXRyYWNlLWFycm93LWVudHJ5IiB2aWV3Ym94PSIwIDAgMTAgMTAiIHJlZng9IjkiIHJlZnk9IjUiIG1hcmtlcndpZHRoPSI2IiBtYXJrZXJoZWlnaHQ9IjYiIG9yaWVudD0iYXV0by1zdGFydC1yZXZlcnNlIj4KICAgICAgICAgICAgPHBhdGggZD0iTTAsMCBMMTAsNSBMMCwxMCB6IiBmaWxsPSJ2YXIoLS10ZWFsLXN0cm9rZSkiPjwvcGF0aD4KICAgICAgICAgIDwvbWFya2VyPgogICAgICAgIDwvZGVmcz4KCiAgICAgICAgPCEtLSA9PT09PT09PT09PT09PT09PSBMQU5FIDE6IGluZGl2aWR1YWwgZW52aXJvbm1lbnRhbCBhc3NldCAoU0VFQSBDRikgPT09PT09PT09PT09PT09PT0gLS0+CiAgICAgICAgPHJlY3QgeD0iMjAiIHk9IjIwIiB3aWR0aD0iODgwIiBoZWlnaHQ9IjIyNCIgY2xhc3M9Imdyb3VwLXJlY3QiIHJ4PSI2Ij48L3JlY3Q+CiAgICAgICAgPHRleHQgeD0iMzgiIHk9IjQyIiBjbGFzcz0iZ3JvdXAtbGFiZWwiPkxhbmUgMSAtLSBJbmRpdmlkdWFsIGVudmlyb25tZW50YWwgYXNzZXQgKFNFRUEgQ0YpLCBlLmcuIGEgZmlzaCBzdG9jazwvdGV4dD4KCiAgICAgICAgPCEtLSBTdG9jayAocm93IEEsIGNvbCAxKSAtLT4KICAgICAgICA8cmVjdCB4PSIzOCIgeT0iNjQiIHdpZHRoPSIxNDAiIGhlaWdodD0iNTYiIGNsYXNzPSJuLWFuY2hvciIgcng9IjQiPjwvcmVjdD4KICAgICAgICA8dGV4dCB4PSIxMDgiIHk9Ijg4IiB0ZXh0LWFuY2hvcj0ibWlkZGxlIiBjbGFzcz0ibm9kZS1sYWJlbCBhbmNob3IiPlN0b2NrIChiaW9tYXNzLCB0KTx0c3BhbiB4PSIxMDgiIGR5PSIxNSIgY2xhc3M9Im5vZGUtZGVzYyI+b3BlbmluZyBhbmQgY2xvc2luZzwvdHNwYW4+PC90ZXh0PgoKICAgICAgICA8IS0tIFN1c3RhaW5hYmxlIHlpZWxkIChyb3cgQSwgY29sIDIpIC0tPgogICAgICAgIDxyZWN0IHg9IjIxNCIgeT0iNjQiIHdpZHRoPSIxNDAiIGhlaWdodD0iNTYiIGNsYXNzPSJuLWdlbmVyaWMiIHJ4PSI0Ij48L3JlY3Q+CiAgICAgICAgPHRleHQgeD0iMjg0IiB5PSI4OCIgdGV4dC1hbmNob3I9Im1pZGRsZSIgY2xhc3M9Im5vZGUtbGFiZWwgYW5jaG9yIj5TdXN0YWluYWJsZSB5aWVsZDx0c3BhbiB4PSIyODQiIGR5PSIxNSIgY2xhc3M9Im5vZGUtZGVzYyI+YXQgY3VycmVudCBiaW9tYXNzICh0KTwvdHNwYW4+PC90ZXh0PgogICAgICAgIDxwYXRoIGQ9Ik0xNzgsOTIgTDIxNCw5MiIgY2xhc3M9ImVkZ2UiIG1hcmtlci1lbmQ9InVybCgjZmlnLXRnLTMtMTYtMy1waHlzaWNhbC1tb25ldGFyeS10cmFjZS1hcnJvdykiPjwvcGF0aD4KCiAgICAgICAgPCEtLSBNaWQtcGVyaW9kIHByaWNlIChyb3cgQSwgY29sIDQpIC0tPgogICAgICAgIDxyZWN0IHg9IjU2NiIgeT0iNjQiIHdpZHRoPSIxNDAiIGhlaWdodD0iNTYiIGNsYXNzPSJuLWdlbmVyaWMiIHJ4PSI0Ij48L3JlY3Q+CiAgICAgICAgPHRleHQgeD0iNjM2IiB5PSI4NCIgdGV4dC1hbmNob3I9Im1pZGRsZSIgY2xhc3M9Im5vZGUtbGFiZWwgYW5jaG9yIj5NaWQtcGVyaW9kIHByaWNlPHRzcGFuIHg9IjYzNiIgZHk9IjE0IiBjbGFzcz0ibm9kZS1kZXNjIj5wZXIgdG9ubmUgb2Ygc3RvY2s8L3RzcGFuPjx0c3BhbiB4PSI2MzYiIGR5PSIxMiIgY2xhc3M9Im5vZGUtZGVzYyI+KFAgb3BlbiArIFAgY2xvc2UpIC8gMjwvdHNwYW4+PC90ZXh0PgoKICAgICAgICA8IS0tIEV4dHJhY3Rpb24gKHJvdyBCLCBjb2wgMSkgLS0gZmxvdyAtLT4KICAgICAgICA8ZyB0cmFuc2Zvcm09InRyYW5zbGF0ZSgzOCwxNTgpIj4KICAgICAgICAgIDxwYXRoIGQ9Ik0wLDAgTDEyNCwwIEwxNDAsMjggTDEyNCw1NiBMMCw1NiBaIiBjbGFzcz0iZmxvdy1zaGFwZSI+PC9wYXRoPgogICAgICAgICAgPHRleHQgeD0iNjIiIHk9IjI0IiB0ZXh0LWFuY2hvcj0ibWlkZGxlIiBjbGFzcz0ibm9kZS1sYWJlbCBhbmNob3IiPkV4dHJhY3Rpb248dHNwYW4geD0iNjIiIGR5PSIxNSIgY2xhc3M9Im5vZGUtZGVzYyI+Z3Jvc3MgY2F0Y2ggKHQpPC90c3Bhbj48L3RleHQ+CiAgICAgICAgPC9nPgoKICAgICAgICA8IS0tIFBoeXNpY2FsIGRlcGxldGlvbiAocm93IEIsIGNvbCAzKSAtLSBmbG93IC0tPgogICAgICAgIDxnIHRyYW5zZm9ybT0idHJhbnNsYXRlKDM5MCwxNTgpIj4KICAgICAgICAgIDxwYXRoIGQ9Ik0wLDAgTDEyNCwwIEwxNDAsMjggTDEyNCw1NiBMMCw1NiBaIiBjbGFzcz0iZmxvdy1zaGFwZSI+PC9wYXRoPgogICAgICAgICAgPHRleHQgeD0iNjIiIHk9IjE3IiB0ZXh0LWFuY2hvcj0ibWlkZGxlIiBjbGFzcz0ibm9kZS1sYWJlbCBhbmNob3IiPlBoeXNpY2FsIGRlcGxldGlvbjx0c3BhbiB4PSI2MiIgZHk9IjE0IiBjbGFzcz0ibm9kZS1kZXNjIj5tYXgoMCwgZXh0cmFjdGlvbiDiiJIgU1kpPC90c3Bhbj48dHNwYW4geD0iNjIiIGR5PSIxMiIgY2xhc3M9Im5vZGUtZGVzYyI+bm9uLXJlbmV3YWJsZTogZXh0cmFjdGlvbjwvdHNwYW4+PC90ZXh0PgogICAgICAgIDwvZz4KICAgICAgICA8IS0tIFNZIC0+IGRlcGxldGlvbjsgZXh0cmFjdGlvbiAtPiBkZXBsZXRpb24gLS0+CiAgICAgICAgPHBhdGggZD0iTTM1NCw5MiBMNDUyLDkyIEw0NTIsMTU4IiBjbGFzcz0iZWRnZSIgbWFya2VyLWVuZD0idXJsKCNmaWctdGctMy0xNi0zLXBoeXNpY2FsLW1vbmV0YXJ5LXRyYWNlLWFycm93KSI+PC9wYXRoPgogICAgICAgIDxwYXRoIGQ9Ik0xNzgsMTg2IEwzOTAsMTg2IiBjbGFzcz0iZWRnZSIgbWFya2VyLWVuZD0idXJsKCNmaWctdGctMy0xNi0zLXBoeXNpY2FsLW1vbmV0YXJ5LXRyYWNlLWFycm93KSI+PC9wYXRoPgogICAgICAgIDxyZWN0IHg9IjIzNiIgeT0iMTcyIiB3aWR0aD0iOTYiIGhlaWdodD0iMTQiIGNsYXNzPSJlZGdlLWxhYmVsLWJnIj48L3JlY3Q+CiAgICAgICAgPHRleHQgeD0iMjg0IiB5PSIxODMiIHRleHQtYW5jaG9yPSJtaWRkbGUiIGNsYXNzPSJlZGdlLWxhYmVsIj5jb21wYXJlZCB3aXRoIFNZPC90ZXh0PgoKICAgICAgICA8IS0tIE1vbmV0YXJ5IGRlcGxldGlvbiAocm93IEIsIGNvbCA0KSAtLSBmbG93IC0tPgogICAgICAgIDxnIHRyYW5zZm9ybT0idHJhbnNsYXRlKDU2NiwxNTgpIj4KICAgICAgICAgIDxwYXRoIGQ9Ik0wLDAgTDEyNCwwIEwxNDAsMjggTDEyNCw1NiBMMCw1NiBaIiBjbGFzcz0iZmxvdy1zaGFwZSI+PC9wYXRoPgogICAgICAgICAgPHRleHQgeD0iNjIiIHk9IjI0IiB0ZXh0LWFuY2hvcj0ibWlkZGxlIiBjbGFzcz0ibm9kZS1sYWJlbCBhbmNob3IiPk1vbmV0YXJ5IGRlcGxldGlvbjx0c3BhbiB4PSI2MiIgZHk9IjE1IiBjbGFzcz0ibm9kZS1kZXNjIj5tZW1vcmFuZHVtIGVudHJ5PC90c3Bhbj48L3RleHQ+CiAgICAgICAgPC9nPgogICAgICAgIDxwYXRoIGQ9Ik01MzAsMTg2IEw1NjYsMTg2IiBjbGFzcz0iZWRnZSIgbWFya2VyLWVuZD0idXJsKCNmaWctdGctMy0xNi0zLXBoeXNpY2FsLW1vbmV0YXJ5LXRyYWNlLWFycm93KSI+PC9wYXRoPgogICAgICAgIDx0ZXh0IHg9IjU0NiIgeT0iMTc4IiB0ZXh0LWFuY2hvcj0ibWlkZGxlIiBjbGFzcz0ib3AtbGFiZWwiPsOXPC90ZXh0PgogICAgICAgIDxwYXRoIGQ9Ik02MjgsMTIwIEw2MjgsMTU4IiBjbGFzcz0iZWRnZSIgbWFya2VyLWVuZD0idXJsKCNmaWctdGctMy0xNi0zLXBoeXNpY2FsLW1vbmV0YXJ5LXRyYWNlLWFycm93KSI+PC9wYXRoPgogICAgICAgIDx0ZXh0IHg9IjY0MCIgeT0iMTQzIiBjbGFzcz0iY2hlY2stdGFnIj5BUS1QTTM8L3RleHQ+CgogICAgICAgIDwhLS0gRGVwbGV0aW9uIGluIE5EUCAocm93IEIsIGNvbCA1KSAtLT4KICAgICAgICA8cmVjdCB4PSI3NDIiIHk9IjE1OCIgd2lkdGg9IjE0MCIgaGVpZ2h0PSI1NiIgY2xhc3M9Im4tZ2VuZXJpYyIgcng9IjQiPjwvcmVjdD4KICAgICAgICA8dGV4dCB4PSI4MTIiIHk9IjE3OCIgdGV4dC1hbmNob3I9Im1pZGRsZSIgY2xhc3M9Im5vZGUtbGFiZWwgYW5jaG9yIj5EZXBsZXRpb24gaW4gTkRQPHRzcGFuIHg9IjgxMiIgZHk9IjE1IiBjbGFzcz0ibm9kZS1kZXNjIj5kZWR1Y3RlZCBmcm9tIG5ldDwvdHNwYW4+PHRzcGFuIHg9IjgxMiIgZHk9IjEyIiBjbGFzcz0ibm9kZS1kZXNjIj5kb21lc3RpYyBwcm9kdWN0PC90c3Bhbj48L3RleHQ+CiAgICAgICAgPHBhdGggZD0iTTcwNiwxODYgTDc0MiwxODYiIGNsYXNzPSJlZGdlIiBtYXJrZXItZW5kPSJ1cmwoI2ZpZy10Zy0zLTE2LTMtcGh5c2ljYWwtbW9uZXRhcnktdHJhY2UtYXJyb3cpIj48L3BhdGg+CiAgICAgICAgPHRleHQgeD0iNzIzIiB5PSIxNzgiIHRleHQtYW5jaG9yPSJtaWRkbGUiIGNsYXNzPSJvcC1sYWJlbCI+PTwvdGV4dD4KICAgICAgICA8dGV4dCB4PSI4MTIiIHk9IjE0NiIgdGV4dC1hbmNob3I9Im1pZGRsZSIgY2xhc3M9ImNoZWNrLXRhZyI+bXVzdCBiZSBlcXVhbCAtLSBBUS1SQzI8L3RleHQ+CgogICAgICAgIDwhLS0gPT09PT09PT09PT09PT09PT0gTEFORSAyOiBlY29zeXN0ZW0gYXNzZXQgKFNFRUEgRUEpID09PT09PT09PT09PT09PT09IC0tPgogICAgICAgIDxyZWN0IHg9IjIwIiB5PSIyNjIiIHdpZHRoPSI4ODAiIGhlaWdodD0iMzYwIiBjbGFzcz0iZ3JvdXAtcmVjdCIgcng9IjYiPjwvcmVjdD4KICAgICAgICA8dGV4dCB4PSIzOCIgeT0iMjg0IiBjbGFzcz0iZ3JvdXAtbGFiZWwiPkxhbmUgMiAtLSBFY29zeXN0ZW0gYXNzZXQgKFNFRUEgRUEpLCBlLmcuIG1hbmdyb3ZlPC90ZXh0PgoKICAgICAgICA8IS0tIFJvdyBBIC0tPgogICAgICAgIDxyZWN0IHg9IjM4IiB5PSIzMDIiIHdpZHRoPSIxNDAiIGhlaWdodD0iNTYiIGNsYXNzPSJuLWdlbmVyaWMiIHJ4PSI0Ij48L3JlY3Q+CiAgICAgICAgPHRleHQgeD0iMTA4IiB5PSIzMjIiIHRleHQtYW5jaG9yPSJtaWRkbGUiIGNsYXNzPSJub2RlLWxhYmVsIGFuY2hvciI+Q29uZGl0aW9uIHZhcmlhYmxlczx0c3BhbiB4PSIxMDgiIGR5PSIxNCIgY2xhc3M9Im5vZGUtZGVzYyI+bWVhc3VyZWQgdmFsdWVzPC90c3Bhbj48dHNwYW4geD0iMTA4IiBkeT0iMTIiIGNsYXNzPSJub2RlLWRlc2MiPlRhYmxlIDNhPC90c3Bhbj48L3RleHQ+CgogICAgICAgIDxyZWN0IHg9IjIxNCIgeT0iMzAyIiB3aWR0aD0iMTQwIiBoZWlnaHQ9IjU2IiBjbGFzcz0ibi1nZW5lcmljIiByeD0iNCI+PC9yZWN0PgogICAgICAgIDx0ZXh0IHg9IjI4NCIgeT0iMzIyIiB0ZXh0LWFuY2hvcj0ibWlkZGxlIiBjbGFzcz0ibm9kZS1sYWJlbCBhbmNob3IiPkluZGljYXRvcnM8dHNwYW4geD0iMjg0IiBkeT0iMTQiIGNsYXNzPSJub2RlLWRlc2MiPnJlc2NhbGVkIDDigJMxIChURy0yLjEpPC90c3Bhbj48dHNwYW4geD0iMjg0IiBkeT0iMTIiIGNsYXNzPSJub2RlLWRlc2MiPlRhYmxlIDNiPC90c3Bhbj48L3RleHQ+CgogICAgICAgIDxyZWN0IHg9IjM5MCIgeT0iMzAyIiB3aWR0aD0iMTQwIiBoZWlnaHQ9IjU2IiBjbGFzcz0ibi1nZW5lcmljIiByeD0iNCI+PC9yZWN0PgogICAgICAgIDx0ZXh0IHg9IjQ2MCIgeT0iMzIyIiB0ZXh0LWFuY2hvcj0ibWlkZGxlIiBjbGFzcz0ibm9kZS1sYWJlbCBhbmNob3IiPkNvbmRpdGlvbiBpbmRleDx0c3BhbiB4PSI0NjAiIGR5PSIxNCIgY2xhc3M9Im5vZGUtZGVzYyI+b3BlbmluZyBhbmQgY2xvc2luZzwvdHNwYW4+PHRzcGFuIHg9IjQ2MCIgZHk9IjEyIiBjbGFzcz0ibm9kZS1kZXNjIj5UYWJsZSAzYzwvdHNwYW4+PC90ZXh0PgoKICAgICAgICA8cmVjdCB4PSI1NjYiIHk9IjMwMiIgd2lkdGg9IjE0MCIgaGVpZ2h0PSI1NiIgY2xhc3M9Im4tZ2VuZXJpYyIgcng9IjQiPjwvcmVjdD4KICAgICAgICA8dGV4dCB4PSI2MzYiIHk9IjMyMiIgdGV4dC1hbmNob3I9Im1pZGRsZSIgY2xhc3M9Im5vZGUtbGFiZWwgYW5jaG9yIj5JbmRleCBkZWNsaW5lPHRzcGFuIHg9IjYzNiIgZHk9IjE0IiBjbGFzcz0ibm9kZS1kZXNjIj5vcGVuaW5nIOKIkiBjbG9zaW5nPC90c3Bhbj48dHNwYW4geD0iNjM2IiBkeT0iMTIiIGNsYXNzPSJub2RlLWRlc2MiPmFic29sdXRlIGluZGV4IHBvaW50czwvdHNwYW4+PC90ZXh0PgoKICAgICAgICA8ZyB0cmFuc2Zvcm09InRyYW5zbGF0ZSg3NDIsMzAyKSI+CiAgICAgICAgICA8cGF0aCBkPSJNMCwwIEwxMjQsMCBMMTQwLDI4IEwxMjQsNTYgTDAsNTYgWiIgY2xhc3M9ImZsb3ctc2hhcGUiPjwvcGF0aD4KICAgICAgICAgIDx0ZXh0IHg9IjYyIiB5PSIyMiIgdGV4dC1hbmNob3I9Im1pZGRsZSIgY2xhc3M9Im5vZGUtbGFiZWwgYW5jaG9yIj5EZWdyYWRhdGlvbjx0c3BhbiB4PSI2MiIgZHk9IjE1IiBjbGFzcz0ibm9kZS1kZXNjIj5kZWNsaW5lIMOXIFBWPC90c3Bhbj48L3RleHQ+CiAgICAgICAgICA8dGV4dCB4PSI2MiIgeT0iNTAiIHRleHQtYW5jaG9yPSJtaWRkbGUiIGNsYXNzPSJjaGVjay10YWciPkFRLVBNNDwvdGV4dD4KICAgICAgICA8L2c+CgogICAgICAgIDxwYXRoIGQ9Ik0xNzgsMzMwIEwyMTQsMzMwIiBjbGFzcz0iZWRnZSIgbWFya2VyLWVuZD0idXJsKCNmaWctdGctMy0xNi0zLXBoeXNpY2FsLW1vbmV0YXJ5LXRyYWNlLWFycm93KSI+PC9wYXRoPgogICAgICAgIDxwYXRoIGQ9Ik0zNTQsMzMwIEwzOTAsMzMwIiBjbGFzcz0iZWRnZSIgbWFya2VyLWVuZD0idXJsKCNmaWctdGctMy0xNi0zLXBoeXNpY2FsLW1vbmV0YXJ5LXRyYWNlLWFycm93KSI+PC9wYXRoPgogICAgICAgIDxwYXRoIGQ9Ik01MzAsMzMwIEw1NjYsMzMwIiBjbGFzcz0iZWRnZSIgbWFya2VyLWVuZD0idXJsKCNmaWctdGctMy0xNi0zLXBoeXNpY2FsLW1vbmV0YXJ5LXRyYWNlLWFycm93KSI+PC9wYXRoPgogICAgICAgIDxwYXRoIGQ9Ik03MDYsMzMwIEw3NDIsMzMwIiBjbGFzcz0iZWRnZSIgbWFya2VyLWVuZD0idXJsKCNmaWctdGctMy0xNi0zLXBoeXNpY2FsLW1vbmV0YXJ5LXRyYWNlLWFycm93KSI+PC9wYXRoPgogICAgICAgIDx0ZXh0IHg9IjcyNCIgeT0iMzIyIiB0ZXh0LWFuY2hvcj0ibWlkZGxlIiBjbGFzcz0ib3AtbGFiZWwiPsOXPC90ZXh0PgoKICAgICAgICA8IS0tIFJvdyBCOiBwcmVzZW50IHZhbHVlIGF0IHJlZmVyZW5jZSBjb25kaXRpb24gLS0+CiAgICAgICAgPHJlY3QgeD0iNzQyIiB5PSI0MTQiIHdpZHRoPSIxNDAiIGhlaWdodD0iNTYiIGNsYXNzPSJuLWdlbmVyaWMiIHJ4PSI0Ij48L3JlY3Q+CiAgICAgICAgPHRleHQgeD0iODEyIiB5PSI0MzQiIHRleHQtYW5jaG9yPSJtaWRkbGUiIGNsYXNzPSJub2RlLWxhYmVsIGFuY2hvciI+UHJlc2VudCB2YWx1ZTx0c3BhbiB4PSI4MTIiIGR5PSIxNCIgY2xhc3M9Im5vZGUtZGVzYyI+b2YgYWZmZWN0ZWQgc2VydmljZXM8L3RzcGFuPjx0c3BhbiB4PSI4MTIiIGR5PSIxMiIgY2xhc3M9Im5vZGUtZGVzYyI+YXQgcmVmZXJlbmNlIGNvbmRpdGlvbjwvdHNwYW4+PC90ZXh0PgogICAgICAgIDxwYXRoIGQ9Ik04MDQsNDE0IEw4MDQsMzU4IiBjbGFzcz0iZWRnZSIgbWFya2VyLWVuZD0idXJsKCNmaWctdGctMy0xNi0zLXBoeXNpY2FsLW1vbmV0YXJ5LXRyYWNlLWFycm93KSI+PC9wYXRoPgogICAgICAgIDx0ZXh0IHg9IjgxNiIgeT0iMzkyIiBjbGFzcz0ib3AtbGFiZWwiPsOXPC90ZXh0PgoKICAgICAgICA8IS0tIFJvdyBDOiBzZXJ2aWNlIGZsb3cgYW5kIHZhbHVhdGlvbiAtLT4KICAgICAgICA8cmVjdCB4PSIyMTQiIHk9IjUyNiIgd2lkdGg9IjE0MCIgaGVpZ2h0PSI1NiIgY2xhc3M9Im4tZ2VuZXJpYyIgcng9IjQiPjwvcmVjdD4KICAgICAgICA8dGV4dCB4PSIyODQiIHk9IjU0NiIgdGV4dC1hbmNob3I9Im1pZGRsZSIgY2xhc3M9Im5vZGUtbGFiZWwgYW5jaG9yIj5SZWZlcmVuY2UgcmF0ZTx0c3BhbiB4PSIyODQiIGR5PSIxNCIgY2xhc3M9Im5vZGUtZGVzYyI+c2VydmljZSByYXRlIGF0IHJlZmVyZW5jZTwvdHNwYW4+PHRzcGFuIHg9IjI4NCIgZHk9IjEyIiBjbGFzcz0ibm9kZS1kZXNjIj5jb25kaXRpb24gKGxpdGVyYXR1cmUpPC90c3Bhbj48L3RleHQ+CgogICAgICAgIDxnIHRyYW5zZm9ybT0idHJhbnNsYXRlKDM5MCw1MjYpIj4KICAgICAgICAgIDxwYXRoIGQ9Ik0wLDAgTDEyNCwwIEwxNDAsMjggTDEyNCw1NiBMMCw1NiBaIiBjbGFzcz0iZmxvdy1zaGFwZSI+PC9wYXRoPgogICAgICAgICAgPHRleHQgeD0iNjIiIHk9IjIwIiB0ZXh0LWFuY2hvcj0ibWlkZGxlIiBjbGFzcz0ibm9kZS1sYWJlbCBhbmNob3IiPlNlcnZpY2UgZmxvdzx0c3BhbiB4PSI2MiIgZHk9IjE0IiBjbGFzcz0ibm9kZS1kZXNjIj5yZWZlcmVuY2UgcmF0ZTwvdHNwYW4+PHRzcGFuIHg9IjYyIiBkeT0iMTIiIGNsYXNzPSJub2RlLWRlc2MiPsOXIGNvbmRpdGlvbiBpbmRleDwvdHNwYW4+PC90ZXh0PgogICAgICAgIDwvZz4KCiAgICAgICAgPHJlY3QgeD0iNTY2IiB5PSI1MjYiIHdpZHRoPSIxNDAiIGhlaWdodD0iNTYiIGNsYXNzPSJuLXByb2Nlc3MiIHJ4PSI0Ij48L3JlY3Q+CiAgICAgICAgPHRleHQgeD0iNjM2IiB5PSI1NDYiIHRleHQtYW5jaG9yPSJtaWRkbGUiIGNsYXNzPSJub2RlLWxhYmVsIGFuY2hvciI+RGlzY291bnQ8dHNwYW4geD0iNjM2IiBkeT0iMTQiIGNsYXNzPSJub2RlLWRlc2MiPnN0YXRlZCByYXRlOyBwZXJwZXR1aXR5PC90c3Bhbj48dHNwYW4geD0iNjM2IiBkeT0iMTIiIGNsYXNzPSJub2RlLWRlc2MiPm9yIGZpbml0ZSBob3Jpem9uPC90c3Bhbj48L3RleHQ+CgogICAgICAgIDxyZWN0IHg9Ijc0MiIgeT0iNTI2IiB3aWR0aD0iMTQwIiBoZWlnaHQ9IjU2IiBjbGFzcz0ibi1hbmNob3IiIHJ4PSI0Ij48L3JlY3Q+CiAgICAgICAgPHRleHQgeD0iODEyIiB5PSI1NDYiIHRleHQtYW5jaG9yPSJtaWRkbGUiIGNsYXNzPSJub2RlLWxhYmVsIGFuY2hvciI+QXNzZXQgdmFsdWU8dHNwYW4geD0iODEyIiBkeT0iMTQiIGNsYXNzPSJub2RlLWRlc2MiPmNvbmRpdGlvbi1hZGp1c3RlZDwvdHNwYW4+PHRzcGFuIHg9IjgxMiIgZHk9IjEyIiBjbGFzcz0ibm9kZS1kZXNjIj5tb25ldGFyeSBzdG9jazwvdHNwYW4+PC90ZXh0PgoKICAgICAgICA8cGF0aCBkPSJNMzU0LDU1NCBMMzkwLDU1NCIgY2xhc3M9ImVkZ2UiIG1hcmtlci1lbmQ9InVybCgjZmlnLXRnLTMtMTYtMy1waHlzaWNhbC1tb25ldGFyeS10cmFjZS1hcnJvdykiPjwvcGF0aD4KICAgICAgICA8cGF0aCBkPSJNNTMwLDU1NCBMNTY2LDU1NCIgY2xhc3M9ImVkZ2UiIG1hcmtlci1lbmQ9InVybCgjZmlnLXRnLTMtMTYtMy1waHlzaWNhbC1tb25ldGFyeS10cmFjZS1hcnJvdykiPjwvcGF0aD4KICAgICAgICA8cGF0aCBkPSJNNzA2LDU1NCBMNzQyLDU1NCIgY2xhc3M9ImVkZ2UiIG1hcmtlci1lbmQ9InVybCgjZmlnLXRnLTMtMTYtMy1waHlzaWNhbC1tb25ldGFyeS10cmFjZS1hcnJvdykiPjwvcGF0aD4KCiAgICAgICAgPCEtLSBUaGUgT05FIGVudHJ5IHBvaW50IG9mIHRoZSBjb25kaXRpb24gaW5kZXg6IHRoZSBzZXJ2aWNlLWZsb3cgc3RlcCAtLT4KICAgICAgICA8cGF0aCBkPSJNNDUyLDM1OCBMNDUyLDUyNiIgY2xhc3M9ImVkZ2UtZW50cnkiIG1hcmtlci1lbmQ9InVybCgjZmlnLXRnLTMtMTYtMy1waHlzaWNhbC1tb25ldGFyeS10cmFjZS1hcnJvdy1lbnRyeSkiPjwvcGF0aD4KICAgICAgICA8cmVjdCB4PSIzOTYiIHk9IjQyOCIgd2lkdGg9IjExMiIgaGVpZ2h0PSIyOCIgY2xhc3M9ImVkZ2UtbGFiZWwtYmciPjwvcmVjdD4KICAgICAgICA8dGV4dCB4PSI0NTIiIHk9IjQzOSIgdGV4dC1hbmNob3I9Im1pZGRsZSIgY2xhc3M9ImVkZ2UtbGFiZWwiIGZvbnQtd2VpZ2h0PSI2MDAiIGZpbGw9InZhcigtLXRlYWwtc3Ryb2tlKSI+ZW50ZXJzIGhlcmUsIG9uY2U8L3RleHQ+CiAgICAgICAgPHRleHQgeD0iNDUyIiB5PSI0NTIiIHRleHQtYW5jaG9yPSJtaWRkbGUiIGNsYXNzPSJlZGdlLWxhYmVsIj5zZXJ2aWNlLWZsb3cgc3RlcDwvdGV4dD4KCiAgICAgICAgPCEtLSBTdHJ1Y2stdGhyb3VnaCBzZWNvbmQgZW50cnkgYXQgdGhlIGRpc2NvdW50IHN0ZXAgLS0+CiAgICAgICAgPHBhdGggZD0iTTUwNiwzNTggTDYwMCw1MjYiIGNsYXNzPSJlZGdlLWRhc2hlZCIgbWFya2VyLWVuZD0idXJsKCNmaWctdGctMy0xNi0zLXBoeXNpY2FsLW1vbmV0YXJ5LXRyYWNlLWFycm93KSI+PC9wYXRoPgogICAgICAgIDxwYXRoIGQ9Ik01NDMsNDMyIEw1NjMsNDUyIE01NjMsNDMyIEw1NDMsNDUyIiBjbGFzcz0ic3RyaWtlIj48L3BhdGg+CgogICAgICAgIDwhLS0gU2luZ2xlIGNvcmFsIGNhbGxvdXQgLS0+CiAgICAgICAgPHJlY3QgeD0iNTg0IiB5PSI0MDAiIHdpZHRoPSIxNDIiIGhlaWdodD0iNjYiIGNsYXNzPSJuLWhpZ2hsaWdodCIgcng9IjQiPjwvcmVjdD4KICAgICAgICA8dGV4dCB4PSI1OTQiIHk9IjQxNyIgY2xhc3M9ImNhbGxvdXQtdGV4dCIgZm9udC13ZWlnaHQ9IjYwMCI+Tm90IGFnYWluIGF0IHRoZTx0c3BhbiB4PSI1OTQiIGR5PSIxMyIgZm9udC13ZWlnaHQ9IjQwMCI+ZGlzY291bnQgc3RlcCAtLSB0aGF0PC90c3Bhbj48dHNwYW4geD0iNTk0IiBkeT0iMTMiIGZvbnQtd2VpZ2h0PSI0MDAiPnNxdWFyZXMgdGhlIGFkanVzdG1lbnQ8L3RzcGFuPjx0c3BhbiB4PSI1OTQiIGR5PSIxMyIgZm9udC13ZWlnaHQ9IjQwMCI+KEFRLVZBMik8L3RzcGFuPjwvdGV4dD4KCiAgICAgICAgPCEtLSBDYXJib24gbm90ZSAtLT4KICAgICAgICA8dGV4dCB4PSIzOCIgeT0iNjA4IiBjbGFzcz0iYW5ub3RhdGlvbiI+TWVhc3VyZWQgY2FyYm9uIHN0b2NrcyBhcmUgbm90IHNjYWxlZCBieSB0aGUgY29uZGl0aW9uIGluZGV4IChBUS1DTzYpLjwvdGV4dD4KCiAgICAgICAgPCEtLSA9PT09PT09PT09PT09PT09PSBMRUdFTkQgPT09PT09PT09PT09PT09PT0gLS0+CiAgICAgICAgPHJlY3QgeD0iMzgiIHk9IjY0OCIgd2lkdGg9IjIyIiBoZWlnaHQ9IjE0IiBjbGFzcz0ibi1hbmNob3IiIHJ4PSIyIj48L3JlY3Q+CiAgICAgICAgPHRleHQgeD0iNjYiIHk9IjY1OSIgY2xhc3M9ImxlZ2VuZC1sYWJlbCI+U3RvY2s8L3RleHQ+CiAgICAgICAgPHBhdGggZD0iTTEyMCw2NDggTDEzNiw2NDggTDE0Miw2NTUgTDEzNiw2NjIgTDEyMCw2NjIgWiIgY2xhc3M9ImZsb3ctc2hhcGUiPjwvcGF0aD4KICAgICAgICA8dGV4dCB4PSIxNTAiIHk9IjY1OSIgY2xhc3M9ImxlZ2VuZC1sYWJlbCI+RmxvdzwvdGV4dD4KICAgICAgICA8cmVjdCB4PSIyMDAiIHk9IjY0OCIgd2lkdGg9IjIyIiBoZWlnaHQ9IjE0IiBjbGFzcz0ibi1nZW5lcmljIiByeD0iMiI+PC9yZWN0PgogICAgICAgIDx0ZXh0IHg9IjIyOCIgeT0iNjU5IiBjbGFzcz0ibGVnZW5kLWxhYmVsIj5Db21wdXRhdGlvbiBzdGVwPC90ZXh0PgogICAgICAgIDxwYXRoIGQ9Ik0zNDYsNjU1IEwzNzgsNjU1IiBjbGFzcz0iZWRnZS1lbnRyeSIgbWFya2VyLWVuZD0idXJsKCNmaWctdGctMy0xNi0zLXBoeXNpY2FsLW1vbmV0YXJ5LXRyYWNlLWFycm93LWVudHJ5KSI+PC9wYXRoPgogICAgICAgIDx0ZXh0IHg9IjM4NiIgeT0iNjU5IiBjbGFzcz0ibGVnZW5kLWxhYmVsIj5Db25kaXRpb24gaW5kZXggZW50ZXJzPC90ZXh0PgogICAgICAgIDxwYXRoIGQ9Ik01MzAsNjU1IEw1NjIsNjU1IiBjbGFzcz0iZWRnZS1kYXNoZWQiPjwvcGF0aD4KICAgICAgICA8cGF0aCBkPSJNNTQxLDY0OSBMNTUxLDY2MSBNNTUxLDY0OSBMNTQxLDY2MSIgY2xhc3M9InN0cmlrZSI+PC9wYXRoPgogICAgICAgIDx0ZXh0IHg9IjU3MCIgeT0iNjU5IiBjbGFzcz0ibGVnZW5kLWxhYmVsIj5NdXN0IG5vdCBiZSBhcHBsaWVkPC90ZXh0PgogICAgICAgIDx0ZXh0IHg9IjcwMCIgeT0iNjU5IiBjbGFzcz0iY2hlY2stdGFnIj5BUS1QTTM8L3RleHQ+CiAgICAgICAgPHRleHQgeD0iNzQ2IiB5PSI2NTkiIGNsYXNzPSJsZWdlbmQtbGFiZWwiPlFBL1FDIGNoZWNrPC90ZXh0PgogICAgICA8L3N2Zz4="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3.16.3</w:t>
            </w:r>
            <w:r>
              <w:rPr>
                <w:lang w:val="en"/>
              </w:rPr>
              <w:t xml:space="preserve"> </w:t>
            </w:r>
            <w:r>
              <w:rPr>
                <w:lang w:val="en"/>
              </w:rPr>
              <w:t xml:space="preserve">Every monetary depletion and degradation entry traces back to a physical entry, and the condition index enters the valuation once, at the service flow.</w:t>
            </w:r>
            <w:r>
              <w:rPr>
                <w:lang w:val="en"/>
              </w:rPr>
              <w:t xml:space="preserve"> </w:t>
            </w:r>
            <w:r>
              <w:rPr>
                <w:lang w:val="en"/>
              </w:rPr>
              <w:t xml:space="preserve">Source:</w:t>
            </w:r>
            <w:r>
              <w:rPr>
                <w:lang w:val="en"/>
              </w:rPr>
              <w:t xml:space="preserve"> </w:t>
            </w:r>
            <w:r>
              <w:rPr>
                <w:lang w:val="en"/>
              </w:rPr>
              <w:t xml:space="preserve">TG-3.1 Sections 3.3 and 3.5.3; TG-2.1 Section 3.4.1.</w:t>
            </w:r>
            <w:r>
              <w:rPr>
                <w:lang w:val="en"/>
              </w:rPr>
              <w:t xml:space="preserve"> </w:t>
            </w:r>
            <w:r>
              <w:rPr>
                <w:lang w:val="en"/>
              </w:rPr>
              <w:t xml:space="preserve">Note:</w:t>
            </w:r>
            <w:r>
              <w:rPr>
                <w:lang w:val="en"/>
              </w:rPr>
              <w:t xml:space="preserve"> </w:t>
            </w:r>
            <w:r>
              <w:rPr>
                <w:lang w:val="en"/>
              </w:rPr>
              <w:t xml:space="preserve">The linear degradation formula applies only within the three conditions of TG-3.1 Section 3.5.3 (AQ-VA3).</w:t>
            </w:r>
          </w:p>
        </w:tc>
      </w:tr>
    </w:tbl>
    <w:bookmarkStart w:id="92" w:name="X4236c6d5bc15613d5e84dc004b2dd6cdf6747dd"/>
    <w:p>
      <w:pPr>
        <w:pStyle w:val="Heading3"/>
      </w:pPr>
      <w:r>
        <w:rPr>
          <w:lang w:val="en"/>
        </w:rPr>
        <w:t xml:space="preserve">3.5</w:t>
      </w:r>
      <w:r>
        <w:rPr>
          <w:lang w:val="en"/>
        </w:rPr>
        <w:t xml:space="preserve"> </w:t>
      </w:r>
      <w:r>
        <w:rPr>
          <w:lang w:val="en"/>
        </w:rPr>
        <w:t xml:space="preserve">Asset-Type Acceptance Checks</w:t>
      </w:r>
    </w:p>
    <w:p>
      <w:pPr>
        <w:pStyle w:val="FirstParagraph"/>
      </w:pPr>
      <w:hyperlink w:anchor="X4236c6d5bc15613d5e84dc004b2dd6cdf6747dd">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Asset-Type Acceptance Checks”</w:t>
        </w:r>
      </w:hyperlink>
    </w:p>
    <w:bookmarkEnd w:id="92"/>
    <w:p>
      <w:pPr>
        <w:pStyle w:val="BodyText"/>
      </w:pPr>
      <w:r>
        <w:rPr>
          <w:lang w:val="en"/>
        </w:rPr>
        <w:t xml:space="preserve">¶1</w:t>
      </w:r>
      <w:r>
        <w:rPr>
          <w:lang w:val="en"/>
        </w:rPr>
        <w:t xml:space="preserve"> </w:t>
      </w:r>
      <w:r>
        <w:rPr>
          <w:lang w:val="en"/>
        </w:rPr>
        <w:t xml:space="preserve">An asset-type check is an acceptance test at the interface between the account and the method that feeds it, as TG-3.1 frames the requirements a stock assessment must meet. The account does not re-run the method. It tests whether what arrives is usable, and sends it back to the owning circular if not (Table 3.16.5).</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ID</w:t>
            </w:r>
          </w:p>
        </w:tc>
        <w:tc>
          <w:tcPr/>
          <w:p>
            <w:pPr>
              <w:pStyle w:val="Compact"/>
              <w:jc w:val="left"/>
            </w:pPr>
            <w:r>
              <w:rPr>
                <w:lang w:val="en"/>
              </w:rPr>
              <w:t xml:space="preserve">Acceptance check</w:t>
            </w:r>
          </w:p>
        </w:tc>
        <w:tc>
          <w:tcPr/>
          <w:p>
            <w:pPr>
              <w:pStyle w:val="Compact"/>
              <w:jc w:val="left"/>
            </w:pPr>
            <w:r>
              <w:rPr>
                <w:lang w:val="en"/>
              </w:rPr>
              <w:t xml:space="preserve">Owner of the method</w:t>
            </w:r>
          </w:p>
        </w:tc>
      </w:tr>
      <w:tr>
        <w:tc>
          <w:tcPr/>
          <w:p>
            <w:pPr>
              <w:pStyle w:val="Compact"/>
              <w:jc w:val="left"/>
            </w:pPr>
            <w:r>
              <w:rPr>
                <w:bCs/>
                <w:b/>
                <w:lang w:val="en"/>
              </w:rPr>
              <w:t xml:space="preserve">Aquatic resources</w:t>
            </w:r>
          </w:p>
        </w:tc>
        <w:tc>
          <w:tcPr/>
          <w:p>
            <w:pPr>
              <w:pStyle w:val="Compact"/>
            </w:pPr>
          </w:p>
        </w:tc>
        <w:tc>
          <w:tcPr/>
          <w:p>
            <w:pPr>
              <w:pStyle w:val="Compact"/>
              <w:jc w:val="left"/>
            </w:pPr>
            <w:r>
              <w:rPr>
                <w:lang w:val="en"/>
              </w:rPr>
              <w:t xml:space="preserve">TG-6.7</w:t>
            </w:r>
          </w:p>
        </w:tc>
      </w:tr>
      <w:tr>
        <w:tc>
          <w:tcPr/>
          <w:p>
            <w:pPr>
              <w:pStyle w:val="Compact"/>
              <w:jc w:val="left"/>
            </w:pPr>
            <w:r>
              <w:rPr>
                <w:lang w:val="en"/>
              </w:rPr>
              <w:t xml:space="preserve">AQ-FS1</w:t>
            </w:r>
          </w:p>
        </w:tc>
        <w:tc>
          <w:tcPr/>
          <w:p>
            <w:pPr>
              <w:pStyle w:val="Compact"/>
              <w:jc w:val="left"/>
            </w:pPr>
            <w:r>
              <w:rPr>
                <w:lang w:val="en"/>
              </w:rPr>
              <w:t xml:space="preserve">Total biomass for opening and closing stock; SSB for B/B</w:t>
            </w:r>
            <w:r>
              <w:rPr>
                <w:vertAlign w:val="subscript"/>
                <w:lang w:val="en"/>
              </w:rPr>
              <w:t xml:space="preserve">MSY</w:t>
            </w:r>
            <w:r>
              <w:rPr>
                <w:lang w:val="en"/>
              </w:rPr>
              <w:t xml:space="preserve"> </w:t>
            </w:r>
            <w:r>
              <w:rPr>
                <w:lang w:val="en"/>
              </w:rPr>
              <w:t xml:space="preserve">and sustainable yield; no switch of concept between periods</w:t>
            </w:r>
          </w:p>
        </w:tc>
        <w:tc>
          <w:tcPr/>
          <w:p>
            <w:pPr>
              <w:pStyle w:val="Compact"/>
              <w:jc w:val="left"/>
            </w:pPr>
            <w:r>
              <w:rPr>
                <w:lang w:val="en"/>
              </w:rPr>
              <w:t xml:space="preserve">TG-6.7</w:t>
            </w:r>
          </w:p>
        </w:tc>
      </w:tr>
      <w:tr>
        <w:tc>
          <w:tcPr/>
          <w:p>
            <w:pPr>
              <w:pStyle w:val="Compact"/>
              <w:jc w:val="left"/>
            </w:pPr>
            <w:r>
              <w:rPr>
                <w:lang w:val="en"/>
              </w:rPr>
              <w:t xml:space="preserve">AQ-FS2</w:t>
            </w:r>
          </w:p>
        </w:tc>
        <w:tc>
          <w:tcPr/>
          <w:p>
            <w:pPr>
              <w:pStyle w:val="Compact"/>
              <w:jc w:val="left"/>
            </w:pPr>
            <w:r>
              <w:rPr>
                <w:lang w:val="en"/>
              </w:rPr>
              <w:t xml:space="preserve">Reported catch within the plan’s tolerance of the assessment-implied catch (TG-6.7 Section 3.3, Step 6); the gap between the identity and the assessed closing stock shown as a reappraisal</w:t>
            </w:r>
          </w:p>
        </w:tc>
        <w:tc>
          <w:tcPr/>
          <w:p>
            <w:pPr>
              <w:pStyle w:val="Compact"/>
              <w:jc w:val="left"/>
            </w:pPr>
            <w:r>
              <w:rPr>
                <w:lang w:val="en"/>
              </w:rPr>
              <w:t xml:space="preserve">TG-6.7</w:t>
            </w:r>
          </w:p>
        </w:tc>
      </w:tr>
      <w:tr>
        <w:tc>
          <w:tcPr/>
          <w:p>
            <w:pPr>
              <w:pStyle w:val="Compact"/>
              <w:jc w:val="left"/>
            </w:pPr>
            <w:r>
              <w:rPr>
                <w:lang w:val="en"/>
              </w:rPr>
              <w:t xml:space="preserve">AQ-FS3</w:t>
            </w:r>
          </w:p>
        </w:tc>
        <w:tc>
          <w:tcPr/>
          <w:p>
            <w:pPr>
              <w:pStyle w:val="Compact"/>
              <w:jc w:val="left"/>
            </w:pPr>
            <w:r>
              <w:rPr>
                <w:lang w:val="en"/>
              </w:rPr>
              <w:t xml:space="preserve">Gross catch includes discards by sector; IUU catch is recorded by the residence of the vessel (TG-4.10 Section 3.8.4); subsistence catch is estimated where it exceeds about 10% of harvest</w:t>
            </w:r>
          </w:p>
        </w:tc>
        <w:tc>
          <w:tcPr/>
          <w:p>
            <w:pPr>
              <w:pStyle w:val="Compact"/>
              <w:jc w:val="left"/>
            </w:pPr>
            <w:r>
              <w:rPr>
                <w:lang w:val="en"/>
              </w:rPr>
              <w:t xml:space="preserve">TG-6.7; TG-4.10</w:t>
            </w:r>
          </w:p>
        </w:tc>
      </w:tr>
      <w:tr>
        <w:tc>
          <w:tcPr/>
          <w:p>
            <w:pPr>
              <w:pStyle w:val="Compact"/>
              <w:jc w:val="left"/>
            </w:pPr>
            <w:r>
              <w:rPr>
                <w:lang w:val="en"/>
              </w:rPr>
              <w:t xml:space="preserve">AQ-FS4</w:t>
            </w:r>
          </w:p>
        </w:tc>
        <w:tc>
          <w:tcPr/>
          <w:p>
            <w:pPr>
              <w:pStyle w:val="Compact"/>
              <w:jc w:val="left"/>
            </w:pPr>
            <w:r>
              <w:rPr>
                <w:lang w:val="en"/>
              </w:rPr>
              <w:t xml:space="preserve">CPUE alone does not close the account, and the metadata say so</w:t>
            </w:r>
          </w:p>
        </w:tc>
        <w:tc>
          <w:tcPr/>
          <w:p>
            <w:pPr>
              <w:pStyle w:val="Compact"/>
              <w:jc w:val="left"/>
            </w:pPr>
            <w:r>
              <w:rPr>
                <w:lang w:val="en"/>
              </w:rPr>
              <w:t xml:space="preserve">TG-3.1</w:t>
            </w:r>
          </w:p>
        </w:tc>
      </w:tr>
      <w:tr>
        <w:tc>
          <w:tcPr/>
          <w:p>
            <w:pPr>
              <w:pStyle w:val="Compact"/>
              <w:jc w:val="left"/>
            </w:pPr>
            <w:r>
              <w:rPr>
                <w:lang w:val="en"/>
              </w:rPr>
              <w:t xml:space="preserve">AQ-FS5</w:t>
            </w:r>
          </w:p>
        </w:tc>
        <w:tc>
          <w:tcPr/>
          <w:p>
            <w:pPr>
              <w:pStyle w:val="Compact"/>
              <w:jc w:val="left"/>
            </w:pPr>
            <w:r>
              <w:rPr>
                <w:lang w:val="en"/>
              </w:rPr>
              <w:t xml:space="preserve">Assessment vintage recorded; a revised reference point is a reappraisal</w:t>
            </w:r>
          </w:p>
        </w:tc>
        <w:tc>
          <w:tcPr/>
          <w:p>
            <w:pPr>
              <w:pStyle w:val="Compact"/>
              <w:jc w:val="left"/>
            </w:pPr>
            <w:r>
              <w:rPr>
                <w:lang w:val="en"/>
              </w:rPr>
              <w:t xml:space="preserve">TG-6.7</w:t>
            </w:r>
          </w:p>
        </w:tc>
      </w:tr>
      <w:tr>
        <w:tc>
          <w:tcPr/>
          <w:p>
            <w:pPr>
              <w:pStyle w:val="Compact"/>
              <w:jc w:val="left"/>
            </w:pPr>
            <w:r>
              <w:rPr>
                <w:lang w:val="en"/>
              </w:rPr>
              <w:t xml:space="preserve">AQ-FS6</w:t>
            </w:r>
          </w:p>
        </w:tc>
        <w:tc>
          <w:tcPr/>
          <w:p>
            <w:pPr>
              <w:pStyle w:val="Compact"/>
              <w:jc w:val="left"/>
            </w:pPr>
            <w:r>
              <w:rPr>
                <w:lang w:val="en"/>
              </w:rPr>
              <w:t xml:space="preserve">Cultivated and natural stocks kept apart</w:t>
            </w:r>
          </w:p>
        </w:tc>
        <w:tc>
          <w:tcPr/>
          <w:p>
            <w:pPr>
              <w:pStyle w:val="Compact"/>
              <w:jc w:val="left"/>
            </w:pPr>
            <w:r>
              <w:rPr>
                <w:lang w:val="en"/>
              </w:rPr>
              <w:t xml:space="preserve">TG-3.9</w:t>
            </w:r>
          </w:p>
        </w:tc>
      </w:tr>
      <w:tr>
        <w:tc>
          <w:tcPr/>
          <w:p>
            <w:pPr>
              <w:pStyle w:val="Compact"/>
              <w:jc w:val="left"/>
            </w:pPr>
            <w:r>
              <w:rPr>
                <w:bCs/>
                <w:b/>
                <w:lang w:val="en"/>
              </w:rPr>
              <w:t xml:space="preserve">Mineral and energy resources</w:t>
            </w:r>
          </w:p>
        </w:tc>
        <w:tc>
          <w:tcPr/>
          <w:p>
            <w:pPr>
              <w:pStyle w:val="Compact"/>
            </w:pPr>
          </w:p>
        </w:tc>
        <w:tc>
          <w:tcPr/>
          <w:p>
            <w:pPr>
              <w:pStyle w:val="Compact"/>
              <w:jc w:val="left"/>
            </w:pPr>
            <w:r>
              <w:rPr>
                <w:lang w:val="en"/>
              </w:rPr>
              <w:t xml:space="preserve">TG-3.10; TG-6.9</w:t>
            </w:r>
          </w:p>
        </w:tc>
      </w:tr>
      <w:tr>
        <w:tc>
          <w:tcPr/>
          <w:p>
            <w:pPr>
              <w:pStyle w:val="Compact"/>
              <w:jc w:val="left"/>
            </w:pPr>
            <w:r>
              <w:rPr>
                <w:lang w:val="en"/>
              </w:rPr>
              <w:t xml:space="preserve">AQ-MN1</w:t>
            </w:r>
          </w:p>
        </w:tc>
        <w:tc>
          <w:tcPr/>
          <w:p>
            <w:pPr>
              <w:pStyle w:val="Compact"/>
              <w:jc w:val="left"/>
            </w:pPr>
            <w:r>
              <w:rPr>
                <w:lang w:val="en"/>
              </w:rPr>
              <w:t xml:space="preserve">Classes A to C recorded; only Class A valued</w:t>
            </w:r>
          </w:p>
        </w:tc>
        <w:tc>
          <w:tcPr/>
          <w:p>
            <w:pPr>
              <w:pStyle w:val="Compact"/>
              <w:jc w:val="left"/>
            </w:pPr>
            <w:r>
              <w:rPr>
                <w:lang w:val="en"/>
              </w:rPr>
              <w:t xml:space="preserve">TG-3.1 Section 3.4.2</w:t>
            </w:r>
          </w:p>
        </w:tc>
      </w:tr>
      <w:tr>
        <w:tc>
          <w:tcPr/>
          <w:p>
            <w:pPr>
              <w:pStyle w:val="Compact"/>
              <w:jc w:val="left"/>
            </w:pPr>
            <w:r>
              <w:rPr>
                <w:lang w:val="en"/>
              </w:rPr>
              <w:t xml:space="preserve">AQ-MN2</w:t>
            </w:r>
          </w:p>
        </w:tc>
        <w:tc>
          <w:tcPr/>
          <w:p>
            <w:pPr>
              <w:pStyle w:val="Compact"/>
              <w:jc w:val="left"/>
            </w:pPr>
            <w:r>
              <w:rPr>
                <w:lang w:val="en"/>
              </w:rPr>
              <w:t xml:space="preserve">Terminal (decommissioning) costs written off through consumption of fixed capital, so the rent is net of them; depletion kept apart from consumption of fixed capital</w:t>
            </w:r>
          </w:p>
        </w:tc>
        <w:tc>
          <w:tcPr/>
          <w:p>
            <w:pPr>
              <w:pStyle w:val="Compact"/>
              <w:jc w:val="left"/>
            </w:pPr>
            <w:r>
              <w:rPr>
                <w:lang w:val="en"/>
              </w:rPr>
              <w:t xml:space="preserve">TG-3.10; TG-6.9</w:t>
            </w:r>
          </w:p>
        </w:tc>
      </w:tr>
      <w:tr>
        <w:tc>
          <w:tcPr/>
          <w:p>
            <w:pPr>
              <w:pStyle w:val="Compact"/>
              <w:jc w:val="left"/>
            </w:pPr>
            <w:r>
              <w:rPr>
                <w:lang w:val="en"/>
              </w:rPr>
              <w:t xml:space="preserve">AQ-MN3</w:t>
            </w:r>
          </w:p>
        </w:tc>
        <w:tc>
          <w:tcPr/>
          <w:p>
            <w:pPr>
              <w:pStyle w:val="Compact"/>
              <w:jc w:val="left"/>
            </w:pPr>
            <w:r>
              <w:rPr>
                <w:lang w:val="en"/>
              </w:rPr>
              <w:t xml:space="preserve">Installations (AN11), non-renewable resources (AN321) and renewable energy resources (AN322) never summed; ABNJ in satellite tables only</w:t>
            </w:r>
          </w:p>
        </w:tc>
        <w:tc>
          <w:tcPr/>
          <w:p>
            <w:pPr>
              <w:pStyle w:val="Compact"/>
              <w:jc w:val="left"/>
            </w:pPr>
            <w:r>
              <w:rPr>
                <w:lang w:val="en"/>
              </w:rPr>
              <w:t xml:space="preserve">TG-3.10; TG-6.6</w:t>
            </w:r>
          </w:p>
        </w:tc>
      </w:tr>
      <w:tr>
        <w:tc>
          <w:tcPr/>
          <w:p>
            <w:pPr>
              <w:pStyle w:val="Compact"/>
              <w:jc w:val="left"/>
            </w:pPr>
            <w:r>
              <w:rPr>
                <w:bCs/>
                <w:b/>
                <w:lang w:val="en"/>
              </w:rPr>
              <w:t xml:space="preserve">Water</w:t>
            </w:r>
          </w:p>
        </w:tc>
        <w:tc>
          <w:tcPr/>
          <w:p>
            <w:pPr>
              <w:pStyle w:val="Compact"/>
            </w:pPr>
          </w:p>
        </w:tc>
        <w:tc>
          <w:tcPr/>
          <w:p>
            <w:pPr>
              <w:pStyle w:val="Compact"/>
              <w:jc w:val="left"/>
            </w:pPr>
            <w:r>
              <w:rPr>
                <w:lang w:val="en"/>
              </w:rPr>
              <w:t xml:space="preserve">TG-3.1 Section 3.4.3</w:t>
            </w:r>
          </w:p>
        </w:tc>
      </w:tr>
      <w:tr>
        <w:tc>
          <w:tcPr/>
          <w:p>
            <w:pPr>
              <w:pStyle w:val="Compact"/>
              <w:jc w:val="left"/>
            </w:pPr>
            <w:r>
              <w:rPr>
                <w:lang w:val="en"/>
              </w:rPr>
              <w:t xml:space="preserve">AQ-WA1</w:t>
            </w:r>
          </w:p>
        </w:tc>
        <w:tc>
          <w:tcPr/>
          <w:p>
            <w:pPr>
              <w:pStyle w:val="Compact"/>
              <w:jc w:val="left"/>
            </w:pPr>
            <w:r>
              <w:rPr>
                <w:lang w:val="en"/>
              </w:rPr>
              <w:t xml:space="preserve">Seawater outside the asset boundary; coastal aquifers only</w:t>
            </w:r>
          </w:p>
        </w:tc>
        <w:tc>
          <w:tcPr/>
          <w:p>
            <w:pPr>
              <w:pStyle w:val="Compact"/>
              <w:jc w:val="left"/>
            </w:pPr>
            <w:r>
              <w:rPr>
                <w:lang w:val="en"/>
              </w:rPr>
              <w:t xml:space="preserve">TG-3.1</w:t>
            </w:r>
          </w:p>
        </w:tc>
      </w:tr>
      <w:tr>
        <w:tc>
          <w:tcPr/>
          <w:p>
            <w:pPr>
              <w:pStyle w:val="Compact"/>
              <w:jc w:val="left"/>
            </w:pPr>
            <w:r>
              <w:rPr>
                <w:bCs/>
                <w:b/>
                <w:lang w:val="en"/>
              </w:rPr>
              <w:t xml:space="preserve">Extent</w:t>
            </w:r>
          </w:p>
        </w:tc>
        <w:tc>
          <w:tcPr/>
          <w:p>
            <w:pPr>
              <w:pStyle w:val="Compact"/>
            </w:pPr>
          </w:p>
        </w:tc>
        <w:tc>
          <w:tcPr/>
          <w:p>
            <w:pPr>
              <w:pStyle w:val="Compact"/>
              <w:jc w:val="left"/>
            </w:pPr>
            <w:r>
              <w:rPr>
                <w:lang w:val="en"/>
              </w:rPr>
              <w:t xml:space="preserve">TG-4.1; TG-2.12</w:t>
            </w:r>
          </w:p>
        </w:tc>
      </w:tr>
      <w:tr>
        <w:tc>
          <w:tcPr/>
          <w:p>
            <w:pPr>
              <w:pStyle w:val="Compact"/>
              <w:jc w:val="left"/>
            </w:pPr>
            <w:r>
              <w:rPr>
                <w:lang w:val="en"/>
              </w:rPr>
              <w:t xml:space="preserve">AQ-EX1</w:t>
            </w:r>
          </w:p>
        </w:tc>
        <w:tc>
          <w:tcPr/>
          <w:p>
            <w:pPr>
              <w:pStyle w:val="Compact"/>
              <w:jc w:val="left"/>
            </w:pPr>
            <w:r>
              <w:rPr>
                <w:lang w:val="en"/>
              </w:rPr>
              <w:t xml:space="preserve">Probability sample of at least 50 points per class (30 for rare classes); accepted at overall accuracy of 80% and producer’s and user’s accuracy of 75%, otherwise “conditionally accepted” and graded C</w:t>
            </w:r>
          </w:p>
        </w:tc>
        <w:tc>
          <w:tcPr/>
          <w:p>
            <w:pPr>
              <w:pStyle w:val="Compact"/>
              <w:jc w:val="left"/>
            </w:pPr>
            <w:r>
              <w:rPr>
                <w:lang w:val="en"/>
              </w:rPr>
              <w:t xml:space="preserve">TG-4.1 Sections 3.4.2—3.4.3</w:t>
            </w:r>
          </w:p>
        </w:tc>
      </w:tr>
      <w:tr>
        <w:tc>
          <w:tcPr/>
          <w:p>
            <w:pPr>
              <w:pStyle w:val="Compact"/>
              <w:jc w:val="left"/>
            </w:pPr>
            <w:r>
              <w:rPr>
                <w:lang w:val="en"/>
              </w:rPr>
              <w:t xml:space="preserve">AQ-EX2</w:t>
            </w:r>
          </w:p>
        </w:tc>
        <w:tc>
          <w:tcPr/>
          <w:p>
            <w:pPr>
              <w:pStyle w:val="Compact"/>
              <w:jc w:val="left"/>
            </w:pPr>
            <w:r>
              <w:rPr>
                <w:lang w:val="en"/>
              </w:rPr>
              <w:t xml:space="preserve">Area-adjusted estimate and its 95% confidence interval reported beside every mapped extent</w:t>
            </w:r>
          </w:p>
        </w:tc>
        <w:tc>
          <w:tcPr/>
          <w:p>
            <w:pPr>
              <w:pStyle w:val="Compact"/>
              <w:jc w:val="left"/>
            </w:pPr>
            <w:r>
              <w:rPr>
                <w:lang w:val="en"/>
              </w:rPr>
              <w:t xml:space="preserve">TG-4.1 Section 3.4.3</w:t>
            </w:r>
          </w:p>
        </w:tc>
      </w:tr>
      <w:tr>
        <w:tc>
          <w:tcPr/>
          <w:p>
            <w:pPr>
              <w:pStyle w:val="Compact"/>
              <w:jc w:val="left"/>
            </w:pPr>
            <w:r>
              <w:rPr>
                <w:lang w:val="en"/>
              </w:rPr>
              <w:t xml:space="preserve">AQ-EX3</w:t>
            </w:r>
          </w:p>
        </w:tc>
        <w:tc>
          <w:tcPr/>
          <w:p>
            <w:pPr>
              <w:pStyle w:val="Compact"/>
              <w:jc w:val="left"/>
            </w:pPr>
            <w:r>
              <w:rPr>
                <w:lang w:val="en"/>
              </w:rPr>
              <w:t xml:space="preserve">Minimum mapping unit, dominance rule and equal-area CRS as TG-2.12 sets them</w:t>
            </w:r>
          </w:p>
        </w:tc>
        <w:tc>
          <w:tcPr/>
          <w:p>
            <w:pPr>
              <w:pStyle w:val="Compact"/>
              <w:jc w:val="left"/>
            </w:pPr>
            <w:r>
              <w:rPr>
                <w:lang w:val="en"/>
              </w:rPr>
              <w:t xml:space="preserve">TG-2.12</w:t>
            </w:r>
          </w:p>
        </w:tc>
      </w:tr>
      <w:tr>
        <w:tc>
          <w:tcPr/>
          <w:p>
            <w:pPr>
              <w:pStyle w:val="Compact"/>
              <w:jc w:val="left"/>
            </w:pPr>
            <w:r>
              <w:rPr>
                <w:lang w:val="en"/>
              </w:rPr>
              <w:t xml:space="preserve">AQ-EX4</w:t>
            </w:r>
          </w:p>
        </w:tc>
        <w:tc>
          <w:tcPr/>
          <w:p>
            <w:pPr>
              <w:pStyle w:val="Compact"/>
              <w:jc w:val="left"/>
            </w:pPr>
            <w:r>
              <w:rPr>
                <w:lang w:val="en"/>
              </w:rPr>
              <w:t xml:space="preserve">Imagery within ±90 days of the period boundary (±45 days for high-seasonality types); an inter-layer lag over 6 months assessed, an area effect over 1% disclosed</w:t>
            </w:r>
          </w:p>
        </w:tc>
        <w:tc>
          <w:tcPr/>
          <w:p>
            <w:pPr>
              <w:pStyle w:val="Compact"/>
              <w:jc w:val="left"/>
            </w:pPr>
            <w:r>
              <w:rPr>
                <w:lang w:val="en"/>
              </w:rPr>
              <w:t xml:space="preserve">TG-2.12</w:t>
            </w:r>
          </w:p>
        </w:tc>
      </w:tr>
      <w:tr>
        <w:tc>
          <w:tcPr/>
          <w:p>
            <w:pPr>
              <w:pStyle w:val="Compact"/>
              <w:jc w:val="left"/>
            </w:pPr>
            <w:r>
              <w:rPr>
                <w:lang w:val="en"/>
              </w:rPr>
              <w:t xml:space="preserve">AQ-EX5</w:t>
            </w:r>
          </w:p>
        </w:tc>
        <w:tc>
          <w:tcPr/>
          <w:p>
            <w:pPr>
              <w:pStyle w:val="Compact"/>
              <w:jc w:val="left"/>
            </w:pPr>
            <w:r>
              <w:rPr>
                <w:lang w:val="en"/>
              </w:rPr>
              <w:t xml:space="preserve">Deep seagrass recorded as a lower bound</w:t>
            </w:r>
          </w:p>
        </w:tc>
        <w:tc>
          <w:tcPr/>
          <w:p>
            <w:pPr>
              <w:pStyle w:val="Compact"/>
              <w:jc w:val="left"/>
            </w:pPr>
            <w:r>
              <w:rPr>
                <w:lang w:val="en"/>
              </w:rPr>
              <w:t xml:space="preserve">TG-6.3</w:t>
            </w:r>
          </w:p>
        </w:tc>
      </w:tr>
      <w:tr>
        <w:tc>
          <w:tcPr/>
          <w:p>
            <w:pPr>
              <w:pStyle w:val="Compact"/>
              <w:jc w:val="left"/>
            </w:pPr>
            <w:r>
              <w:rPr>
                <w:lang w:val="en"/>
              </w:rPr>
              <w:t xml:space="preserve">AQ-EX6</w:t>
            </w:r>
          </w:p>
        </w:tc>
        <w:tc>
          <w:tcPr/>
          <w:p>
            <w:pPr>
              <w:pStyle w:val="Compact"/>
              <w:jc w:val="left"/>
            </w:pPr>
            <w:r>
              <w:rPr>
                <w:lang w:val="en"/>
              </w:rPr>
              <w:t xml:space="preserve">A confirmed zero recorded as 0; no data recorded as ”..”</w:t>
            </w:r>
          </w:p>
        </w:tc>
        <w:tc>
          <w:tcPr/>
          <w:p>
            <w:pPr>
              <w:pStyle w:val="Compact"/>
              <w:jc w:val="left"/>
            </w:pPr>
            <w:r>
              <w:rPr>
                <w:lang w:val="en"/>
              </w:rPr>
              <w:t xml:space="preserve">TG-0.7</w:t>
            </w:r>
          </w:p>
        </w:tc>
      </w:tr>
      <w:tr>
        <w:tc>
          <w:tcPr/>
          <w:p>
            <w:pPr>
              <w:pStyle w:val="Compact"/>
              <w:jc w:val="left"/>
            </w:pPr>
            <w:r>
              <w:rPr>
                <w:bCs/>
                <w:b/>
                <w:lang w:val="en"/>
              </w:rPr>
              <w:t xml:space="preserve">Condition</w:t>
            </w:r>
          </w:p>
        </w:tc>
        <w:tc>
          <w:tcPr/>
          <w:p>
            <w:pPr>
              <w:pStyle w:val="Compact"/>
            </w:pPr>
          </w:p>
        </w:tc>
        <w:tc>
          <w:tcPr/>
          <w:p>
            <w:pPr>
              <w:pStyle w:val="Compact"/>
              <w:jc w:val="left"/>
            </w:pPr>
            <w:r>
              <w:rPr>
                <w:lang w:val="en"/>
              </w:rPr>
              <w:t xml:space="preserve">TG-2.1; TG-4.8; TG-4.9</w:t>
            </w:r>
          </w:p>
        </w:tc>
      </w:tr>
      <w:tr>
        <w:tc>
          <w:tcPr/>
          <w:p>
            <w:pPr>
              <w:pStyle w:val="Compact"/>
              <w:jc w:val="left"/>
            </w:pPr>
            <w:r>
              <w:rPr>
                <w:lang w:val="en"/>
              </w:rPr>
              <w:t xml:space="preserve">AQ-CO1</w:t>
            </w:r>
          </w:p>
        </w:tc>
        <w:tc>
          <w:tcPr/>
          <w:p>
            <w:pPr>
              <w:pStyle w:val="Compact"/>
              <w:jc w:val="left"/>
            </w:pPr>
            <w:r>
              <w:rPr>
                <w:lang w:val="en"/>
              </w:rPr>
              <w:t xml:space="preserve">L, U, polarity and vintage fixed before data are collected, and held for the series. L and U come from the same ecosystem type and setting as the reporting unit; a naturally low-stature or low-cover setting is not treated as a degraded state of another</w:t>
            </w:r>
          </w:p>
        </w:tc>
        <w:tc>
          <w:tcPr/>
          <w:p>
            <w:pPr>
              <w:pStyle w:val="Compact"/>
              <w:jc w:val="left"/>
            </w:pPr>
            <w:r>
              <w:rPr>
                <w:lang w:val="en"/>
              </w:rPr>
              <w:t xml:space="preserve">TG-2.1 Section 3.4.2</w:t>
            </w:r>
          </w:p>
        </w:tc>
      </w:tr>
      <w:tr>
        <w:tc>
          <w:tcPr/>
          <w:p>
            <w:pPr>
              <w:pStyle w:val="Compact"/>
              <w:jc w:val="left"/>
            </w:pPr>
            <w:r>
              <w:rPr>
                <w:lang w:val="en"/>
              </w:rPr>
              <w:t xml:space="preserve">AQ-CO2</w:t>
            </w:r>
          </w:p>
        </w:tc>
        <w:tc>
          <w:tcPr/>
          <w:p>
            <w:pPr>
              <w:pStyle w:val="Compact"/>
              <w:jc w:val="left"/>
            </w:pPr>
            <w:r>
              <w:rPr>
                <w:lang w:val="en"/>
              </w:rPr>
              <w:t xml:space="preserve">Rescaling by TG-2.1 Section 3.4.1 only; indicators in [0, 1]; V/ref not used unless a lower reference of zero is justified</w:t>
            </w:r>
          </w:p>
        </w:tc>
        <w:tc>
          <w:tcPr/>
          <w:p>
            <w:pPr>
              <w:pStyle w:val="Compact"/>
              <w:jc w:val="left"/>
            </w:pPr>
            <w:r>
              <w:rPr>
                <w:lang w:val="en"/>
              </w:rPr>
              <w:t xml:space="preserve">TG-2.1</w:t>
            </w:r>
          </w:p>
        </w:tc>
      </w:tr>
      <w:tr>
        <w:tc>
          <w:tcPr/>
          <w:p>
            <w:pPr>
              <w:pStyle w:val="Compact"/>
              <w:jc w:val="left"/>
            </w:pPr>
            <w:r>
              <w:rPr>
                <w:lang w:val="en"/>
              </w:rPr>
              <w:t xml:space="preserve">AQ-CO3</w:t>
            </w:r>
          </w:p>
        </w:tc>
        <w:tc>
          <w:tcPr/>
          <w:p>
            <w:pPr>
              <w:pStyle w:val="Compact"/>
              <w:jc w:val="left"/>
            </w:pPr>
            <w:r>
              <w:rPr>
                <w:lang w:val="en"/>
              </w:rPr>
              <w:t xml:space="preserve">At least one variable per ECT class</w:t>
            </w:r>
          </w:p>
        </w:tc>
        <w:tc>
          <w:tcPr/>
          <w:p>
            <w:pPr>
              <w:pStyle w:val="Compact"/>
              <w:jc w:val="left"/>
            </w:pPr>
            <w:r>
              <w:rPr>
                <w:lang w:val="en"/>
              </w:rPr>
              <w:t xml:space="preserve">TG-3.1 Section 3.5.2</w:t>
            </w:r>
          </w:p>
        </w:tc>
      </w:tr>
      <w:tr>
        <w:tc>
          <w:tcPr/>
          <w:p>
            <w:pPr>
              <w:pStyle w:val="Compact"/>
              <w:jc w:val="left"/>
            </w:pPr>
            <w:r>
              <w:rPr>
                <w:lang w:val="en"/>
              </w:rPr>
              <w:t xml:space="preserve">AQ-CO4</w:t>
            </w:r>
          </w:p>
        </w:tc>
        <w:tc>
          <w:tcPr/>
          <w:p>
            <w:pPr>
              <w:pStyle w:val="Compact"/>
              <w:jc w:val="left"/>
            </w:pPr>
            <w:r>
              <w:rPr>
                <w:lang w:val="en"/>
              </w:rPr>
              <w:t xml:space="preserve">Aggregation rule and weights stated; geometric-mean and one-out-all-out results reported as sensitivity</w:t>
            </w:r>
          </w:p>
        </w:tc>
        <w:tc>
          <w:tcPr/>
          <w:p>
            <w:pPr>
              <w:pStyle w:val="Compact"/>
              <w:jc w:val="left"/>
            </w:pPr>
            <w:r>
              <w:rPr>
                <w:lang w:val="en"/>
              </w:rPr>
              <w:t xml:space="preserve">TG-2.1 Section 3.6</w:t>
            </w:r>
          </w:p>
        </w:tc>
      </w:tr>
      <w:tr>
        <w:tc>
          <w:tcPr/>
          <w:p>
            <w:pPr>
              <w:pStyle w:val="Compact"/>
              <w:jc w:val="left"/>
            </w:pPr>
            <w:r>
              <w:rPr>
                <w:lang w:val="en"/>
              </w:rPr>
              <w:t xml:space="preserve">AQ-CO5</w:t>
            </w:r>
          </w:p>
        </w:tc>
        <w:tc>
          <w:tcPr/>
          <w:p>
            <w:pPr>
              <w:pStyle w:val="Compact"/>
              <w:jc w:val="left"/>
            </w:pPr>
            <w:r>
              <w:rPr>
                <w:lang w:val="en"/>
              </w:rPr>
              <w:t xml:space="preserve">All three condition tables published; standard errors propagated to the index</w:t>
            </w:r>
          </w:p>
        </w:tc>
        <w:tc>
          <w:tcPr/>
          <w:p>
            <w:pPr>
              <w:pStyle w:val="Compact"/>
              <w:jc w:val="left"/>
            </w:pPr>
            <w:r>
              <w:rPr>
                <w:lang w:val="en"/>
              </w:rPr>
              <w:t xml:space="preserve">TG-3.1 Section 3.5.2</w:t>
            </w:r>
          </w:p>
        </w:tc>
      </w:tr>
      <w:tr>
        <w:tc>
          <w:tcPr/>
          <w:p>
            <w:pPr>
              <w:pStyle w:val="Compact"/>
              <w:jc w:val="left"/>
            </w:pPr>
            <w:r>
              <w:rPr>
                <w:lang w:val="en"/>
              </w:rPr>
              <w:t xml:space="preserve">AQ-CO6</w:t>
            </w:r>
          </w:p>
        </w:tc>
        <w:tc>
          <w:tcPr/>
          <w:p>
            <w:pPr>
              <w:pStyle w:val="Compact"/>
              <w:jc w:val="left"/>
            </w:pPr>
            <w:r>
              <w:rPr>
                <w:lang w:val="en"/>
              </w:rPr>
              <w:t xml:space="preserve">Condition never used as a multiplier on measured carbon</w:t>
            </w:r>
          </w:p>
        </w:tc>
        <w:tc>
          <w:tcPr/>
          <w:p>
            <w:pPr>
              <w:pStyle w:val="Compact"/>
              <w:jc w:val="left"/>
            </w:pPr>
            <w:r>
              <w:rPr>
                <w:lang w:val="en"/>
              </w:rPr>
              <w:t xml:space="preserve">TG-6.2; TG-6.3</w:t>
            </w:r>
          </w:p>
        </w:tc>
      </w:tr>
      <w:tr>
        <w:tc>
          <w:tcPr/>
          <w:p>
            <w:pPr>
              <w:pStyle w:val="Compact"/>
              <w:jc w:val="left"/>
            </w:pPr>
            <w:r>
              <w:rPr>
                <w:lang w:val="en"/>
              </w:rPr>
              <w:t xml:space="preserve">AQ-CO7</w:t>
            </w:r>
          </w:p>
        </w:tc>
        <w:tc>
          <w:tcPr/>
          <w:p>
            <w:pPr>
              <w:pStyle w:val="Compact"/>
              <w:jc w:val="left"/>
            </w:pPr>
            <w:r>
              <w:rPr>
                <w:lang w:val="en"/>
              </w:rPr>
              <w:t xml:space="preserve">Each condition variable value lies within the plausibility range for its reporting unit and setting, or is flagged and its explanation logged. The range comes from the national reference-value register, and pooled national ranges are not used where values depend on setting</w:t>
            </w:r>
          </w:p>
        </w:tc>
        <w:tc>
          <w:tcPr/>
          <w:p>
            <w:pPr>
              <w:pStyle w:val="Compact"/>
              <w:jc w:val="left"/>
            </w:pPr>
            <w:r>
              <w:rPr>
                <w:lang w:val="en"/>
              </w:rPr>
              <w:t xml:space="preserve">TG-4.8; TG-4.9</w:t>
            </w:r>
          </w:p>
        </w:tc>
      </w:tr>
      <w:tr>
        <w:tc>
          <w:tcPr/>
          <w:p>
            <w:pPr>
              <w:pStyle w:val="Compact"/>
              <w:jc w:val="left"/>
            </w:pPr>
            <w:r>
              <w:rPr>
                <w:bCs/>
                <w:b/>
                <w:lang w:val="en"/>
              </w:rPr>
              <w:t xml:space="preserve">Monetary ecosystem</w:t>
            </w:r>
          </w:p>
        </w:tc>
        <w:tc>
          <w:tcPr/>
          <w:p>
            <w:pPr>
              <w:pStyle w:val="Compact"/>
            </w:pPr>
          </w:p>
        </w:tc>
        <w:tc>
          <w:tcPr/>
          <w:p>
            <w:pPr>
              <w:pStyle w:val="Compact"/>
              <w:jc w:val="left"/>
            </w:pPr>
            <w:r>
              <w:rPr>
                <w:lang w:val="en"/>
              </w:rPr>
              <w:t xml:space="preserve">TG-3.1 Section 3.5.3; TG-2.4</w:t>
            </w:r>
          </w:p>
        </w:tc>
      </w:tr>
      <w:tr>
        <w:tc>
          <w:tcPr/>
          <w:p>
            <w:pPr>
              <w:pStyle w:val="Compact"/>
              <w:jc w:val="left"/>
            </w:pPr>
            <w:r>
              <w:rPr>
                <w:lang w:val="en"/>
              </w:rPr>
              <w:t xml:space="preserve">AQ-EV1</w:t>
            </w:r>
          </w:p>
        </w:tc>
        <w:tc>
          <w:tcPr/>
          <w:p>
            <w:pPr>
              <w:pStyle w:val="Compact"/>
              <w:jc w:val="left"/>
            </w:pPr>
            <w:r>
              <w:rPr>
                <w:lang w:val="en"/>
              </w:rPr>
              <w:t xml:space="preserve">AQ-VA2 to AQ-VA7 applied service by service</w:t>
            </w:r>
          </w:p>
        </w:tc>
        <w:tc>
          <w:tcPr/>
          <w:p>
            <w:pPr>
              <w:pStyle w:val="Compact"/>
              <w:jc w:val="left"/>
            </w:pPr>
            <w:r>
              <w:rPr>
                <w:lang w:val="en"/>
              </w:rPr>
              <w:t xml:space="preserve">TG-3.1</w:t>
            </w:r>
          </w:p>
        </w:tc>
      </w:tr>
      <w:tr>
        <w:tc>
          <w:tcPr/>
          <w:p>
            <w:pPr>
              <w:pStyle w:val="Compact"/>
              <w:jc w:val="left"/>
            </w:pPr>
            <w:r>
              <w:rPr>
                <w:lang w:val="en"/>
              </w:rPr>
              <w:t xml:space="preserve">AQ-EV2</w:t>
            </w:r>
          </w:p>
        </w:tc>
        <w:tc>
          <w:tcPr/>
          <w:p>
            <w:pPr>
              <w:pStyle w:val="Compact"/>
              <w:jc w:val="left"/>
            </w:pPr>
            <w:r>
              <w:rPr>
                <w:lang w:val="en"/>
              </w:rPr>
              <w:t xml:space="preserve">Conversion value = converted extent × its unit value, less the value of the type that replaces it</w:t>
            </w:r>
          </w:p>
        </w:tc>
        <w:tc>
          <w:tcPr/>
          <w:p>
            <w:pPr>
              <w:pStyle w:val="Compact"/>
              <w:jc w:val="left"/>
            </w:pPr>
            <w:r>
              <w:rPr>
                <w:lang w:val="en"/>
              </w:rPr>
              <w:t xml:space="preserve">TG-3.1 Section 3.5.3</w:t>
            </w:r>
          </w:p>
        </w:tc>
      </w:tr>
      <w:tr>
        <w:tc>
          <w:tcPr/>
          <w:p>
            <w:pPr>
              <w:pStyle w:val="Compact"/>
              <w:jc w:val="left"/>
            </w:pPr>
            <w:r>
              <w:rPr>
                <w:lang w:val="en"/>
              </w:rPr>
              <w:t xml:space="preserve">AQ-EV3</w:t>
            </w:r>
          </w:p>
        </w:tc>
        <w:tc>
          <w:tcPr/>
          <w:p>
            <w:pPr>
              <w:pStyle w:val="Compact"/>
              <w:jc w:val="left"/>
            </w:pPr>
            <w:r>
              <w:rPr>
                <w:lang w:val="en"/>
              </w:rPr>
              <w:t xml:space="preserve">Reappraisal kept apart from revaluation</w:t>
            </w:r>
          </w:p>
        </w:tc>
        <w:tc>
          <w:tcPr/>
          <w:p>
            <w:pPr>
              <w:pStyle w:val="Compact"/>
              <w:jc w:val="left"/>
            </w:pPr>
            <w:r>
              <w:rPr>
                <w:lang w:val="en"/>
              </w:rPr>
              <w:t xml:space="preserve">TG-3.1 Section 3.5.3</w:t>
            </w:r>
          </w:p>
        </w:tc>
      </w:tr>
      <w:tr>
        <w:tc>
          <w:tcPr/>
          <w:p>
            <w:pPr>
              <w:pStyle w:val="Compact"/>
              <w:jc w:val="left"/>
            </w:pPr>
            <w:r>
              <w:rPr>
                <w:lang w:val="en"/>
              </w:rPr>
              <w:t xml:space="preserve">AQ-EV4</w:t>
            </w:r>
          </w:p>
        </w:tc>
        <w:tc>
          <w:tcPr/>
          <w:p>
            <w:pPr>
              <w:pStyle w:val="Compact"/>
              <w:jc w:val="left"/>
            </w:pPr>
            <w:r>
              <w:rPr>
                <w:lang w:val="en"/>
              </w:rPr>
              <w:t xml:space="preserve">Initial monetary releases labelled experimental</w:t>
            </w:r>
          </w:p>
        </w:tc>
        <w:tc>
          <w:tcPr/>
          <w:p>
            <w:pPr>
              <w:pStyle w:val="Compact"/>
              <w:jc w:val="left"/>
            </w:pPr>
            <w:r>
              <w:rPr>
                <w:lang w:val="en"/>
              </w:rPr>
              <w:t xml:space="preserve">TG-3.1</w:t>
            </w:r>
          </w:p>
        </w:tc>
      </w:tr>
      <w:tr>
        <w:tc>
          <w:tcPr/>
          <w:p>
            <w:pPr>
              <w:pStyle w:val="Compact"/>
              <w:jc w:val="left"/>
            </w:pPr>
            <w:r>
              <w:rPr>
                <w:bCs/>
                <w:b/>
                <w:lang w:val="en"/>
              </w:rPr>
              <w:t xml:space="preserve">Produced assets</w:t>
            </w:r>
          </w:p>
        </w:tc>
        <w:tc>
          <w:tcPr/>
          <w:p>
            <w:pPr>
              <w:pStyle w:val="Compact"/>
            </w:pPr>
          </w:p>
        </w:tc>
        <w:tc>
          <w:tcPr/>
          <w:p>
            <w:pPr>
              <w:pStyle w:val="Compact"/>
              <w:jc w:val="left"/>
            </w:pPr>
            <w:r>
              <w:rPr>
                <w:lang w:val="en"/>
              </w:rPr>
              <w:t xml:space="preserve">TG-6.11; TG-3.1 Section 3.6</w:t>
            </w:r>
          </w:p>
        </w:tc>
      </w:tr>
      <w:tr>
        <w:tc>
          <w:tcPr/>
          <w:p>
            <w:pPr>
              <w:pStyle w:val="Compact"/>
              <w:jc w:val="left"/>
            </w:pPr>
            <w:r>
              <w:rPr>
                <w:lang w:val="en"/>
              </w:rPr>
              <w:t xml:space="preserve">AQ-PR1</w:t>
            </w:r>
          </w:p>
        </w:tc>
        <w:tc>
          <w:tcPr/>
          <w:p>
            <w:pPr>
              <w:pStyle w:val="Compact"/>
              <w:jc w:val="left"/>
            </w:pPr>
            <w:r>
              <w:rPr>
                <w:lang w:val="en"/>
              </w:rPr>
              <w:t xml:space="preserve">Never summed with ecosystem assets</w:t>
            </w:r>
          </w:p>
        </w:tc>
        <w:tc>
          <w:tcPr/>
          <w:p>
            <w:pPr>
              <w:pStyle w:val="Compact"/>
              <w:jc w:val="left"/>
            </w:pPr>
            <w:r>
              <w:rPr>
                <w:lang w:val="en"/>
              </w:rPr>
              <w:t xml:space="preserve">TG-6.11</w:t>
            </w:r>
          </w:p>
        </w:tc>
      </w:tr>
      <w:tr>
        <w:tc>
          <w:tcPr/>
          <w:p>
            <w:pPr>
              <w:pStyle w:val="Compact"/>
              <w:jc w:val="left"/>
            </w:pPr>
            <w:r>
              <w:rPr>
                <w:lang w:val="en"/>
              </w:rPr>
              <w:t xml:space="preserve">AQ-PR2</w:t>
            </w:r>
          </w:p>
        </w:tc>
        <w:tc>
          <w:tcPr/>
          <w:p>
            <w:pPr>
              <w:pStyle w:val="Compact"/>
              <w:jc w:val="left"/>
            </w:pPr>
            <w:r>
              <w:rPr>
                <w:lang w:val="en"/>
              </w:rPr>
              <w:t xml:space="preserve">Decommissioning memorandum included</w:t>
            </w:r>
          </w:p>
        </w:tc>
        <w:tc>
          <w:tcPr/>
          <w:p>
            <w:pPr>
              <w:pStyle w:val="Compact"/>
              <w:jc w:val="left"/>
            </w:pPr>
            <w:r>
              <w:rPr>
                <w:lang w:val="en"/>
              </w:rPr>
              <w:t xml:space="preserve">TG-3.1 Section 3.6</w:t>
            </w:r>
          </w:p>
        </w:tc>
      </w:tr>
      <w:tr>
        <w:tc>
          <w:tcPr/>
          <w:p>
            <w:pPr>
              <w:pStyle w:val="Compact"/>
              <w:jc w:val="left"/>
            </w:pPr>
            <w:r>
              <w:rPr>
                <w:lang w:val="en"/>
              </w:rPr>
              <w:t xml:space="preserve">AQ-PR3</w:t>
            </w:r>
          </w:p>
        </w:tc>
        <w:tc>
          <w:tcPr/>
          <w:p>
            <w:pPr>
              <w:pStyle w:val="Compact"/>
              <w:jc w:val="left"/>
            </w:pPr>
            <w:r>
              <w:rPr>
                <w:lang w:val="en"/>
              </w:rPr>
              <w:t xml:space="preserve">No protection value recorded on the produced side</w:t>
            </w:r>
          </w:p>
        </w:tc>
        <w:tc>
          <w:tcPr/>
          <w:p>
            <w:pPr>
              <w:pStyle w:val="Compact"/>
              <w:jc w:val="left"/>
            </w:pPr>
            <w:r>
              <w:rPr>
                <w:lang w:val="en"/>
              </w:rPr>
              <w:t xml:space="preserve">TG-6.11</w:t>
            </w:r>
          </w:p>
        </w:tc>
      </w:tr>
    </w:tbl>
    <w:p>
      <w:pPr>
        <w:pStyle w:val="BodyText"/>
      </w:pPr>
      <w:r>
        <w:rPr>
          <w:lang w:val="en"/>
        </w:rPr>
        <w:t xml:space="preserve">¶2</w:t>
      </w:r>
      <w:r>
        <w:rPr>
          <w:lang w:val="en"/>
        </w:rPr>
        <w:t xml:space="preserve"> </w:t>
      </w:r>
      <w:r>
        <w:rPr>
          <w:iCs/>
          <w:i/>
          <w:lang w:val="en"/>
        </w:rPr>
        <w:t xml:space="preserve">Table 3.16.5: Asset-type acceptance checks. Each tests a rule set by the circular in the right-hand column; the extent thresholds are TG-4.1’s.</w:t>
      </w:r>
    </w:p>
    <w:p>
      <w:pPr>
        <w:pStyle w:val="BodyText"/>
      </w:pPr>
      <w:r>
        <w:rPr>
          <w:lang w:val="en"/>
        </w:rPr>
        <w:t xml:space="preserve">¶3</w:t>
      </w:r>
      <w:r>
        <w:rPr>
          <w:lang w:val="en"/>
        </w:rPr>
        <w:t xml:space="preserve"> </w:t>
      </w:r>
      <w:r>
        <w:rPr>
          <w:bCs/>
          <w:b/>
          <w:lang w:val="en"/>
        </w:rPr>
        <w:t xml:space="preserve">Area estimates.</w:t>
      </w:r>
      <w:r>
        <w:rPr>
          <w:lang w:val="en"/>
        </w:rPr>
        <w:t xml:space="preserve"> </w:t>
      </w:r>
      <w:r>
        <w:rPr>
          <w:lang w:val="en"/>
        </w:rPr>
        <w:t xml:space="preserve">Where the area-adjusted estimate of AQ-EX2 (Olofsson et al. 2014)</w:t>
      </w:r>
      <w:hyperlink w:anchor="user-content-fn-9">
        <w:r>
          <w:rPr>
            <w:rStyle w:val="Hyperlink"/>
            <w:vertAlign w:val="superscript"/>
            <w:lang w:val="en"/>
          </w:rPr>
          <w:t xml:space="preserve">10</w:t>
        </w:r>
      </w:hyperlink>
      <w:r>
        <w:rPr>
          <w:lang w:val="en"/>
        </w:rPr>
        <w:t xml:space="preserve"> </w:t>
      </w:r>
      <w:r>
        <w:rPr>
          <w:lang w:val="en"/>
        </w:rPr>
        <w:t xml:space="preserve">differs from the mapped area by more than the plan’s tolerance, the account records the estimate and says so. This rule is proposed, for the owners of TG-4.1 and TG-2.12 to confirm.</w:t>
      </w:r>
    </w:p>
    <w:bookmarkStart w:id="95" w:name="Xb295ffc0500a6de349a7f6b083393e1709fe558"/>
    <w:p>
      <w:pPr>
        <w:pStyle w:val="Heading3"/>
      </w:pPr>
      <w:r>
        <w:rPr>
          <w:lang w:val="en"/>
        </w:rPr>
        <w:t xml:space="preserve">3.6</w:t>
      </w:r>
      <w:r>
        <w:rPr>
          <w:lang w:val="en"/>
        </w:rPr>
        <w:t xml:space="preserve"> </w:t>
      </w:r>
      <w:r>
        <w:rPr>
          <w:lang w:val="en"/>
        </w:rPr>
        <w:t xml:space="preserve">Reconciliation and Verification</w:t>
      </w:r>
    </w:p>
    <w:p>
      <w:pPr>
        <w:pStyle w:val="FirstParagraph"/>
      </w:pPr>
      <w:hyperlink w:anchor="Xb295ffc0500a6de349a7f6b083393e1709fe558">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Reconciliation and Verification”</w:t>
        </w:r>
      </w:hyperlink>
    </w:p>
    <w:bookmarkEnd w:id="95"/>
    <w:p>
      <w:pPr>
        <w:pStyle w:val="BodyText"/>
      </w:pPr>
      <w:r>
        <w:rPr>
          <w:lang w:val="en"/>
        </w:rPr>
        <w:t xml:space="preserve">¶1</w:t>
      </w:r>
      <w:r>
        <w:rPr>
          <w:lang w:val="en"/>
        </w:rPr>
        <w:t xml:space="preserve"> </w:t>
      </w:r>
      <w:r>
        <w:rPr>
          <w:bCs/>
          <w:b/>
          <w:lang w:val="en"/>
        </w:rPr>
        <w:t xml:space="preserve">Reconciliation</w:t>
      </w:r>
      <w:r>
        <w:rPr>
          <w:lang w:val="en"/>
        </w:rPr>
        <w:t xml:space="preserve"> </w:t>
      </w:r>
      <w:r>
        <w:rPr>
          <w:lang w:val="en"/>
        </w:rPr>
        <w:t xml:space="preserve">tests the asset account against the accounts compiled beside it. Each pair in Table 3.16.6 must agree within the plan’s tolerance, or the difference is explained in the log. None of these pairs is new: each is required by the circular that owns the neighbouring account. What this Circular adds is the requirement to run all of them and record the result (Figure 3.16.4).</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97" name="Picture"/>
                  <a:graphic>
                    <a:graphicData uri="http://schemas.openxmlformats.org/drawingml/2006/picture">
                      <pic:pic>
                        <pic:nvPicPr>
                          <pic:cNvPr descr="data:image/svg+xml;base64,PHN2ZyB2aWV3Ym94PSIwIDAgOTIwIDY3MCIgeG1sbnM9Imh0dHA6Ly93d3cudzMub3JnLzIwMDAvc3ZnIiByb2xlPSJpbWciIGFyaWEtbGFiZWxsZWRieT0iZmlndGl0bGUgZmlnZGVzYyI+CiAgICAgICAgPHRpdGxlIGlkPSJmaWctdGctMy0xNi00LXJlY29uY2lsaWF0aW9uLW1hcC1maWd0aXRsZSI+VEctMy4xNiAtLSBSZWNvbmNpbGlhdGlvbiBhbmQgdmVyaWZpY2F0aW9uIG1hcCBmb3IgdGhlIG9jZWFuIGFzc2V0IGFjY291bnQ8L3RpdGxlPgogICAgICAgIDxkZXNjIGlkPSJmaWctdGctMy0xNi00LXJlY29uY2lsaWF0aW9uLW1hcC1maWdkZXNjIj5BIGh1Yi1hbmQtc3Bva2UgbWFwLiBUaGUgb2NlYW4gYXNzZXQgYWNjb3VudCAoVEctMy4xKSBzaXRzIGF0IHRoZSBjZW50cmUuIFNpeCBzb2xpZCBzcG9rZXMgY29ubmVjdCBpdCB0byB0aGUgbmVpZ2hib3VyaW5nIGFjY291bnRzIGl0IG11c3QgYWdyZWUgd2l0aCwgZWFjaCBsYWJlbGxlZCB3aXRoIGl0cyBjaGVjayBhbmQgdGhlIGNpcmN1bGFyIHRoYXQgb3ducyB0aGUgcnVsZS4gQWJvdmU6IHRoZSBwaHlzaWNhbCBzdXBwbHkgYW5kIHVzZSB0YWJsZSwgd2hlcmUgZXh0cmFjdGlvbiBlcXVhbHMgdGhlIG5hdHVyYWwtcmVzb3VyY2UgaW5wdXQgKEFRLVJDMSwgVEctMy4yKTsgdGhlIHByb2R1Y3Rpb24gYWNjb3VudCBhbmQgbmV0IGRvbWVzdGljIHByb2R1Y3QsIHdoZXJlIGRlcGxldGlvbiBlcXVhbHMgdGhlIGRlZHVjdGlvbiBmcm9tIE5EUCBhbmQgYXF1YWN1bHR1cmUgaGFydmVzdCBpcyBjb25zaXN0ZW50IHdpdGggb3V0cHV0IChBUS1SQzIgYW5kIEFRLVJDMywgVEctMy4xIFN0ZXAgNiBhbmQgVEctMy45KTsgYW5kIGdvdmVybm1lbnQgZmluYW5jZSBzdGF0aXN0aWNzLCB3aGVyZSBnb3Zlcm5tZW50IHJlbnQgaXMgcmVjb25jaWxlZCB3aXRoLCBub3QgYWRkZWQgdG8sIHRoZSBhc3NldCB2YWx1ZSAoQVEtUkM0LCBURy0zLjcpLiBCZWxvdzogZWNvc3lzdGVtIHNlcnZpY2UgZmxvdyBhY2NvdW50cywgd2hvc2UgZmxvd3MgbXVzdCBiZSBjb25zaXN0ZW50IHdpdGggZXh0ZW50IGFuZCBjb25kaXRpb24gKEFRLVJDNSwgVEctMy4xIFN0ZXAgNik7IHN1Yi1uYXRpb25hbCBhY2NvdW50cywgd2hvc2UgcGFydHMgbXVzdCBzdW0gdG8gdGhlIG5hdGlvbmFsIHRvdGFsIChBUS1SQzcsIFRHLTMuMTEpOyBhbmQgdGhlIG5hdGlvbmFsIGdyZWVuaG91c2UgZ2FzIGludmVudG9yeSwgd2hlcmUgY2FyYm9uIHN0b2NrIGNoYW5nZSBpcyBjb21wYXJlZCB3aXRoIG5ldCBzZXF1ZXN0cmF0aW9uIGFuZCB0aGUgZ2xvYmFsIHdhcm1pbmcgcG90ZW50aWFsIHZhbHVlcyBhcmUgbWF0Y2hlZCAoQVEtUkM4IGFuZCBBUS1WRjUsIFRHLTYuMikuIEEgY29sdW1uIG9uIHRoZSByaWdodCwgbGFiZWxsZWQgVmVyaWZpY2F0aW9uOiBpbmRlcGVuZGVudCBkYXRhLCBob2xkcyBmb3VyIGV4dGVybmFsIGNvbXBhcmF0b3JzIGpvaW5lZCB0byB0aGUgYWNjb3VudCBieSBkYXNoZWQgZWRnZXM6IGdsb2JhbCByZW1vdGUtc2Vuc2luZyBleHRlbnQgcHJvZHVjdHMgKEFRLVZGMSk7IHN0b2NrIGFzc2Vzc21lbnRzIGJ5IGEgcmVnaW9uYWwgZmlzaGVyaWVzIGJvZHkgb3IgbmF0aW9uYWwgYWdlbmN5IGFuZCBGQU8gRmlzaFN0YXRKIChBUS1WRjIpOyBnZW9sb2dpY2FsIHN1cnZleSByZXNlcnZlcyAoQVEtVkYzKTsgYW5kIHRoZSBuYXRpb25hbCBiYWxhbmNlIHNoZWV0IChBUS1WRjQpLiBBdCB0aGUgYm90dG9tLCBpbnNpZGUgdGhlIGFzc2V0IGFjY291bnQsIGEgZG91YmxlIHJlZCBydWxlIG1hcmtlZCBtdXN0IG5vdCBiZSBzdW1tZWQgc2VwYXJhdGVzIHRoZSBzdGFuZC1hbG9uZSBTRUVBIENlbnRyYWwgRnJhbWV3b3JrIGZpc2gtc3RvY2sgdmFsdWUgZnJvbSB0aGUgU0VFQSBFY29zeXN0ZW0gQWNjb3VudGluZyBlY29zeXN0ZW0gYXNzZXQgdG90YWwgKEFRLUlENiwgVEctNi43KS4gQSBrZXkgZXhwbGFpbnMgdGhhdCBhIHNvbGlkIGVkZ2UgaXMgcmVjb25jaWxpYXRpb24sIHdoaWNoIG11c3QgYWdyZWUgd2l0aGluIHRoZSBwbGFuJiMzOTtzIHRvbGVyYW5jZSBvciBiZSBleHBsYWluZWQsIGFuZCBhIGRhc2hlZCBlZGdlIGlzIHZlcmlmaWNhdGlvbiwgd2hlcmUgYSBnYXAgc2hvd3Mgd2hlcmUgdG8gbG9vayBidXQgY2Fubm90IGNvbmZpcm0uPC9kZXNjPgoKICAgICAgICA8IS0tIFNlY3Rpb24gaGVhZGVycyAtLT4KICAgICAgICA8dGV4dCB4PSIyMCIgeT0iMjgiIGNsYXNzPSJncm91cC1sYWJlbCI+UmVjb25jaWxpYXRpb246IGFjY291bnRzIHRoYXQgbXVzdCBhZ3JlZTwvdGV4dD4KCiAgICAgICAgPCEtLSA9PT09PSBWZXJpZmljYXRpb24gY29sdW1uID09PT09IC0tPgogICAgICAgIDxyZWN0IHg9IjY3MiIgeT0iMzYiIHdpZHRoPSIyMzYiIGhlaWdodD0iNDU2IiBjbGFzcz0iZ3JvdXAtcmVjdCIgcng9IjYiPjwvcmVjdD4KICAgICAgICA8dGV4dCB4PSI3OTAiIHk9IjU4IiB0ZXh0LWFuY2hvcj0ibWlkZGxlIiBjbGFzcz0iZ3JvdXAtbGFiZWwiPlZlcmlmaWNhdGlvbjogaW5kZXBlbmRlbnQgZGF0YTwvdGV4dD4KCiAgICAgICAgPCEtLSA9PT09PSBSZWNvbmNpbGlhdGlvbiBzcG9rZXMgKGRyYXduIGZpcnN0LCB1bmRlciBub2RlcykgPT09PT0gLS0+CiAgICAgICAgPHBhdGggZD0iTTI1NywyMzYgTDExNSwxMTAiIGNsYXNzPSJlZGdlIj48L3BhdGg+CiAgICAgICAgPHBhdGggZD0iTTMxNywyMzYgTDMxNywxMTAiIGNsYXNzPSJlZGdlIj48L3BhdGg+CiAgICAgICAgPHBhdGggZD0iTTM3NywyMzYgTDUxOSwxMTAiIGNsYXNzPSJlZGdlIj48L3BhdGg+CiAgICAgICAgPHBhdGggZD0iTTI1NywzMTYgTDExNSw0NDYiIGNsYXNzPSJlZGdlIj48L3BhdGg+CiAgICAgICAgPHBhdGggZD0iTTMxNywzMTYgTDMxNyw0NDYiIGNsYXNzPSJlZGdlIj48L3BhdGg+CiAgICAgICAgPHBhdGggZD0iTTM3NywzMTYgTDUxOSw0NDYiIGNsYXNzPSJlZGdlIj48L3BhdGg+CgogICAgICAgIDwhLS0gPT09PT0gVmVyaWZpY2F0aW9uIGVkZ2VzIChkYXNoZWQpID09PT09IC0tPgogICAgICAgIDxwYXRoIGQ9Ik00MjcsMjUyIEw2ODQsMTAzIiBjbGFzcz0iZWRnZS12ZXJpZnkiPjwvcGF0aD4KICAgICAgICA8cGF0aCBkPSJNNDI3LDI2OCBMNjg0LDIxNyIgY2xhc3M9ImVkZ2UtdmVyaWZ5Ij48L3BhdGg+CiAgICAgICAgPHBhdGggZD0iTTQyNywyODQgTDY4NCwzMzEiIGNsYXNzPSJlZGdlLXZlcmlmeSI+PC9wYXRoPgogICAgICAgIDxwYXRoIGQ9Ik00MjcsMzAwIEw2ODQsNDQ1IiBjbGFzcz0iZWRnZS12ZXJpZnkiPjwvcGF0aD4KCiAgICAgICAgPCEtLSBTcG9rZSBsYWJlbHM6IGNoZWNrIElEIC8gb3duaW5nIGNpcmN1bGFyIC0tPgogICAgICAgIDxyZWN0IHg9IjE3MCIgeT0iMTc3IiB3aWR0aD0iNzAiIGhlaWdodD0iMjgiIGNsYXNzPSJlZGdlLWxhYmVsLWJnIj48L3JlY3Q+CiAgICAgICAgPHRleHQgeD0iMjA1IiB5PSIxODgiIHRleHQtYW5jaG9yPSJtaWRkbGUiIGNsYXNzPSJlZGdlLWxhYmVsIj48dHNwYW4gY2xhc3M9ImNoZWNrLWlkIj5BUS1SQzE8L3RzcGFuPjx0c3BhbiB4PSIyMDUiIGR5PSIxMyI+VEctMy4yPC90c3Bhbj48L3RleHQ+CgogICAgICAgIDxyZWN0IHg9IjI1MiIgeT0iMTM3IiB3aWR0aD0iMTMwIiBoZWlnaHQ9IjI4IiBjbGFzcz0iZWRnZS1sYWJlbC1iZyI+PC9yZWN0PgogICAgICAgIDx0ZXh0IHg9IjMxNyIgeT0iMTQ4IiB0ZXh0LWFuY2hvcj0ibWlkZGxlIiBjbGFzcz0iZWRnZS1sYWJlbCI+PHRzcGFuIGNsYXNzPSJjaGVjay1pZCI+QVEtUkMyOyBBUS1SQzM8L3RzcGFuPjx0c3BhbiB4PSIzMTciIGR5PSIxMyI+VEctMy4xIFN0ZXAgNjsgVEctMy45PC90c3Bhbj48L3RleHQ+CgogICAgICAgIDxyZWN0IHg9IjM5NCIgeT0iMTc3IiB3aWR0aD0iNzAiIGhlaWdodD0iMjgiIGNsYXNzPSJlZGdlLWxhYmVsLWJnIj48L3JlY3Q+CiAgICAgICAgPHRleHQgeD0iNDI5IiB5PSIxODgiIHRleHQtYW5jaG9yPSJtaWRkbGUiIGNsYXNzPSJlZGdlLWxhYmVsIj48dHNwYW4gY2xhc3M9ImNoZWNrLWlkIj5BUS1SQzQ8L3RzcGFuPjx0c3BhbiB4PSI0MjkiIGR5PSIxMyI+VEctMy43PC90c3Bhbj48L3RleHQ+CgogICAgICAgIDxyZWN0IHg9IjE3MiIgeT0iMzQ5IiB3aWR0aD0iNzAiIGhlaWdodD0iMjgiIGNsYXNzPSJlZGdlLWxhYmVsLWJnIj48L3JlY3Q+CiAgICAgICAgPHRleHQgeD0iMjA3IiB5PSIzNjAiIHRleHQtYW5jaG9yPSJtaWRkbGUiIGNsYXNzPSJlZGdlLWxhYmVsIj48dHNwYW4gY2xhc3M9ImNoZWNrLWlkIj5BUS1SQzU8L3RzcGFuPjx0c3BhbiB4PSIyMDciIGR5PSIxMyI+VEctMy4xIFN0ZXAgNjwvdHNwYW4+PC90ZXh0PgoKICAgICAgICA8cmVjdCB4PSIyNzciIHk9IjM5MSIgd2lkdGg9IjgwIiBoZWlnaHQ9IjI4IiBjbGFzcz0iZWRnZS1sYWJlbC1iZyI+PC9yZWN0PgogICAgICAgIDx0ZXh0IHg9IjMxNyIgeT0iNDAyIiB0ZXh0LWFuY2hvcj0ibWlkZGxlIiBjbGFzcz0iZWRnZS1sYWJlbCI+PHRzcGFuIGNsYXNzPSJjaGVjay1pZCI+QVEtUkM3PC90c3Bhbj48dHNwYW4geD0iMzE3IiBkeT0iMTMiPlRHLTMuMTE8L3RzcGFuPjwvdGV4dD4KCiAgICAgICAgPHJlY3QgeD0iMzgyIiB5PSIzNDkiIHdpZHRoPSIxMDAiIGhlaWdodD0iMjgiIGNsYXNzPSJlZGdlLWxhYmVsLWJnIj48L3JlY3Q+CiAgICAgICAgPHRleHQgeD0iNDMyIiB5PSIzNjAiIHRleHQtYW5jaG9yPSJtaWRkbGUiIGNsYXNzPSJlZGdlLWxhYmVsIj48dHNwYW4gY2xhc3M9ImNoZWNrLWlkIj5BUS1SQzg7IEFRLVZGNTwvdHNwYW4+PHRzcGFuIHg9IjQzMiIgZHk9IjEzIj5URy02LjI8L3RzcGFuPjwvdGV4dD4KCiAgICAgICAgPCEtLSBWZXJpZmljYXRpb24gZWRnZSBsYWJlbHMgLS0+CiAgICAgICAgPHJlY3QgeD0iNjE4IiB5PSIxMjEiIHdpZHRoPSI0NCIgaGVpZ2h0PSIxNCIgY2xhc3M9ImVkZ2UtbGFiZWwtYmciPjwvcmVjdD4KICAgICAgICA8dGV4dCB4PSI2NDAiIHk9IjEzMiIgdGV4dC1hbmNob3I9Im1pZGRsZSIgY2xhc3M9ImVkZ2UtbGFiZWwgY2hlY2staWQiPkFRLVZGMTwvdGV4dD4KICAgICAgICA8cmVjdCB4PSI2MTgiIHk9IjIxOSIgd2lkdGg9IjQ0IiBoZWlnaHQ9IjE0IiBjbGFzcz0iZWRnZS1sYWJlbC1iZyI+PC9yZWN0PgogICAgICAgIDx0ZXh0IHg9IjY0MCIgeT0iMjMwIiB0ZXh0LWFuY2hvcj0ibWlkZGxlIiBjbGFzcz0iZWRnZS1sYWJlbCBjaGVjay1pZCI+QVEtVkYyPC90ZXh0PgogICAgICAgIDxyZWN0IHg9IjYxOCIgeT0iMzE2IiB3aWR0aD0iNDQiIGhlaWdodD0iMTQiIGNsYXNzPSJlZGdlLWxhYmVsLWJnIj48L3JlY3Q+CiAgICAgICAgPHRleHQgeD0iNjQwIiB5PSIzMjciIHRleHQtYW5jaG9yPSJtaWRkbGUiIGNsYXNzPSJlZGdlLWxhYmVsIGNoZWNrLWlkIj5BUS1WRjM8L3RleHQ+CiAgICAgICAgPHJlY3QgeD0iNjE4IiB5PSI0MTMiIHdpZHRoPSI0NCIgaGVpZ2h0PSIxNCIgY2xhc3M9ImVkZ2UtbGFiZWwtYmciPjwvcmVjdD4KICAgICAgICA8dGV4dCB4PSI2NDAiIHk9IjQyNCIgdGV4dC1hbmNob3I9Im1pZGRsZSIgY2xhc3M9ImVkZ2UtbGFiZWwgY2hlY2staWQiPkFRLVZGNDwvdGV4dD4KCiAgICAgICAgPCEtLSA9PT09PSBIdWIgPT09PT0gLS0+CiAgICAgICAgPHJlY3QgeD0iMjA3IiB5PSIyMzYiIHdpZHRoPSIyMjAiIGhlaWdodD0iODAiIGNsYXNzPSJuLWFuY2hvciIgcng9IjQiPjwvcmVjdD4KICAgICAgICA8dGV4dCB4PSIzMTciIHk9IjI2NiIgdGV4dC1hbmNob3I9Im1pZGRsZSIgY2xhc3M9Im5vZGUtbGFiZWwgYW5jaG9yIj5PY2VhbiBhc3NldCBhY2NvdW50IChURy0zLjEpPHRzcGFuIHg9IjMxNyIgZHk9IjE2IiBjbGFzcz0ibm9kZS1kZXNjIj5PcGVuaW5nICsgYWRkaXRpb25zIOKIkiByZWR1Y3Rpb25zID0gY2xvc2luZzwvdHNwYW4+PHRzcGFuIHg9IjMxNyIgZHk9IjEzIiBjbGFzcz0ibm9kZS1kZXNjIj5QaHlzaWNhbCBhbmQgbW9uZXRhcnk8L3RzcGFuPjwvdGV4dD4KCiAgICAgICAgPCEtLSA9PT09PSBOZWlnaGJvdXJpbmcgYWNjb3VudHM6IHRvcCByb3cgPT09PT0gLS0+CiAgICAgICAgPHJlY3QgeD0iMjAiIHk9IjQ0IiB3aWR0aD0iMTkwIiBoZWlnaHQ9IjY2IiBjbGFzcz0ibi1zZWNvbmRhcnkiIHJ4PSI0Ij48L3JlY3Q+CiAgICAgICAgPHRleHQgeD0iMTE1IiB5PSI3MCIgdGV4dC1hbmNob3I9Im1pZGRsZSIgY2xhc3M9Im5vZGUtbGFiZWwiPlBoeXNpY2FsIHN1cHBseSBhbmQgdXNlIHRhYmxlPHRzcGFuIHg9IjExNSIgZHk9IjE2IiBjbGFzcz0ibm9kZS1kZXNjIj5FeHRyYWN0aW9uID0gbmF0dXJhbC1yZXNvdXJjZSBpbnB1dDwvdHNwYW4+PC90ZXh0PgoKICAgICAgICA8cmVjdCB4PSIyMjIiIHk9IjQ0IiB3aWR0aD0iMTkwIiBoZWlnaHQ9IjY2IiBjbGFzcz0ibi1zZWNvbmRhcnkiIHJ4PSI0Ij48L3JlY3Q+CiAgICAgICAgPHRleHQgeD0iMzE3IiB5PSI2NCIgdGV4dC1hbmNob3I9Im1pZGRsZSIgY2xhc3M9Im5vZGUtbGFiZWwiPlByb2R1Y3Rpb24gYWNjb3VudCBhbmQgTkRQPHRzcGFuIHg9IjMxNyIgZHk9IjE2IiBjbGFzcz0ibm9kZS1kZXNjIj5EZXBsZXRpb24gPSBORFAgZGVkdWN0aW9uOzwvdHNwYW4+PHRzcGFuIHg9IjMxNyIgZHk9IjEyIiBjbGFzcz0ibm9kZS1kZXNjIj5hcXVhY3VsdHVyZSBoYXJ2ZXN0IGluIG91dHB1dDwvdHNwYW4+PC90ZXh0PgoKICAgICAgICA8cmVjdCB4PSI0MjQiIHk9IjQ0IiB3aWR0aD0iMTkwIiBoZWlnaHQ9IjY2IiBjbGFzcz0ibi1zZWNvbmRhcnkiIHJ4PSI0Ij48L3JlY3Q+CiAgICAgICAgPHRleHQgeD0iNTE5IiB5PSI2NCIgdGV4dC1hbmNob3I9Im1pZGRsZSIgY2xhc3M9Im5vZGUtbGFiZWwiPkdvdmVybm1lbnQgZmluYW5jZSBzdGF0aXN0aWNzPHRzcGFuIHg9IjUxOSIgZHk9IjE2IiBjbGFzcz0ibm9kZS1kZXNjIj5Hb3Zlcm5tZW50IHJlbnQgcmVjb25jaWxlZCw8L3RzcGFuPjx0c3BhbiB4PSI1MTkiIGR5PSIxMiIgY2xhc3M9Im5vZGUtZGVzYyI+bm90IGFkZGVkPC90c3Bhbj48L3RleHQ+CgogICAgICAgIDwhLS0gPT09PT0gTmVpZ2hib3VyaW5nIGFjY291bnRzOiBib3R0b20gcm93ID09PT09IC0tPgogICAgICAgIDxyZWN0IHg9IjIwIiB5PSI0NDYiIHdpZHRoPSIxOTAiIGhlaWdodD0iNjYiIGNsYXNzPSJuLXNlY29uZGFyeSIgcng9IjQiPjwvcmVjdD4KICAgICAgICA8dGV4dCB4PSIxMTUiIHk9IjQ2NiIgdGV4dC1hbmNob3I9Im1pZGRsZSIgY2xhc3M9Im5vZGUtbGFiZWwiPkVjb3N5c3RlbSBzZXJ2aWNlIGZsb3dzPHRzcGFuIHg9IjExNSIgZHk9IjE2IiBjbGFzcz0ibm9kZS1kZXNjIj5GbG93cyBjb25zaXN0ZW50IHdpdGg8L3RzcGFuPjx0c3BhbiB4PSIxMTUiIGR5PSIxMiIgY2xhc3M9Im5vZGUtZGVzYyI+ZXh0ZW50IMOXIGNvbmRpdGlvbjwvdHNwYW4+PC90ZXh0PgoKICAgICAgICA8cmVjdCB4PSIyMjIiIHk9IjQ0NiIgd2lkdGg9IjE5MCIgaGVpZ2h0PSI2NiIgY2xhc3M9Im4tc2Vjb25kYXJ5IiByeD0iNCI+PC9yZWN0PgogICAgICAgIDx0ZXh0IHg9IjMxNyIgeT0iNDcyIiB0ZXh0LWFuY2hvcj0ibWlkZGxlIiBjbGFzcz0ibm9kZS1sYWJlbCI+U3ViLW5hdGlvbmFsIGFjY291bnRzPHRzcGFuIHg9IjMxNyIgZHk9IjE2IiBjbGFzcz0ibm9kZS1kZXNjIj5SZWdpb25hbCBwYXJ0cyBzdW0gdG8gbmF0aW9uYWw8L3RzcGFuPjwvdGV4dD4KCiAgICAgICAgPHJlY3QgeD0iNDI0IiB5PSI0NDYiIHdpZHRoPSIxOTAiIGhlaWdodD0iNjYiIGNsYXNzPSJuLXNlY29uZGFyeSIgcng9IjQiPjwvcmVjdD4KICAgICAgICA8dGV4dCB4PSI1MTkiIHk9IjQ2NiIgdGV4dC1hbmNob3I9Im1pZGRsZSIgY2xhc3M9Im5vZGUtbGFiZWwiPk5hdGlvbmFsIEdIRyBpbnZlbnRvcnk8dHNwYW4geD0iNTE5IiBkeT0iMTYiIGNsYXNzPSJub2RlLWRlc2MiPkNhcmJvbiBzdG9jayBjaGFuZ2UgdnMgbmV0PC90c3Bhbj48dHNwYW4geD0iNTE5IiBkeT0iMTIiIGNsYXNzPSJub2RlLWRlc2MiPnNlcXVlc3RyYXRpb247IEdXUCB2YWx1ZXMgbWF0Y2hlZDwvdHNwYW4+PC90ZXh0PgoKICAgICAgICA8IS0tID09PT09IFZlcmlmaWNhdGlvbiBjb21wYXJhdG9ycyA9PT09PSAtLT4KICAgICAgICA8cmVjdCB4PSI2ODQiIHk9IjcyIiB3aWR0aD0iMjEyIiBoZWlnaHQ9IjYyIiBjbGFzcz0ibi1leHRlcm5hbCIgcng9IjQiPjwvcmVjdD4KICAgICAgICA8dGV4dCB4PSI3OTAiIHk9Ijk2IiB0ZXh0LWFuY2hvcj0ibWlkZGxlIiBjbGFzcz0ibm9kZS1sYWJlbCI+UmVtb3RlLXNlbnNpbmcgZXh0ZW50PHRzcGFuIHg9Ijc5MCIgZHk9IjE2IiBjbGFzcz0ibm9kZS1kZXNjIj5HbG9iYWwgZXh0ZW50IHByb2R1Y3RzPC90c3Bhbj48L3RleHQ+CgogICAgICAgIDxyZWN0IHg9IjY4NCIgeT0iMTg2IiB3aWR0aD0iMjEyIiBoZWlnaHQ9IjYyIiBjbGFzcz0ibi1leHRlcm5hbCIgcng9IjQiPjwvcmVjdD4KICAgICAgICA8dGV4dCB4PSI3OTAiIHk9IjIwNCIgdGV4dC1hbmNob3I9Im1pZGRsZSIgY2xhc3M9Im5vZGUtbGFiZWwiPkZpc2ggc3RvY2sgYXNzZXNzbWVudHM8dHNwYW4geD0iNzkwIiBkeT0iMTYiIGNsYXNzPSJub2RlLWRlc2MiPlJlZ2lvbmFsIGZpc2hlcmllcyBib2R5IG9yIG5hdGlvbmFsPC90c3Bhbj48dHNwYW4geD0iNzkwIiBkeT0iMTIiIGNsYXNzPSJub2RlLWRlc2MiPmFzc2Vzc21lbnQ7IEZBTyBGaXNoU3RhdEo8L3RzcGFuPjwvdGV4dD4KCiAgICAgICAgPHJlY3QgeD0iNjg0IiB5PSIzMDAiIHdpZHRoPSIyMTIiIGhlaWdodD0iNjIiIGNsYXNzPSJuLWV4dGVybmFsIiByeD0iNCI+PC9yZWN0PgogICAgICAgIDx0ZXh0IHg9Ijc5MCIgeT0iMzI0IiB0ZXh0LWFuY2hvcj0ibWlkZGxlIiBjbGFzcz0ibm9kZS1sYWJlbCI+R2VvbG9naWNhbCBzdXJ2ZXkgcmVzZXJ2ZXM8dHNwYW4geD0iNzkwIiBkeT0iMTYiIGNsYXNzPSJub2RlLWRlc2MiPk1pbmVyYWwgYW5kIGVuZXJneSBlc3RpbWF0ZXM8L3RzcGFuPjwvdGV4dD4KCiAgICAgICAgPHJlY3QgeD0iNjg0IiB5PSI0MTQiIHdpZHRoPSIyMTIiIGhlaWdodD0iNjIiIGNsYXNzPSJuLWV4dGVybmFsIiByeD0iNCI+PC9yZWN0PgogICAgICAgIDx0ZXh0IHg9Ijc5MCIgeT0iNDM4IiB0ZXh0LWFuY2hvcj0ibWlkZGxlIiBjbGFzcz0ibm9kZS1sYWJlbCI+TmF0aW9uYWwgYmFsYW5jZSBzaGVldDx0c3BhbiB4PSI3OTAiIGR5PSIxNiIgY2xhc3M9Im5vZGUtZGVzYyI+UHVibGlzaGVkIGFzc2V0IHZhbHVlczwvdHNwYW4+PC90ZXh0PgoKICAgICAgICA8IS0tID09PT09IElkZW50aXR5IGNoZWNrIGluc2lkZSB0aGUgYXNzZXQgYWNjb3VudCAoQVEtSUQ2KSA9PT09PSAtLT4KICAgICAgICA8dGV4dCB4PSIyMCIgeT0iNTQyIiBjbGFzcz0iYW5ub3RhdGlvbiI+SW5zaWRlIHRoZSBhc3NldCBhY2NvdW50IC0tIEFRLUlENiAoVEctNi43KTwvdGV4dD4KICAgICAgICA8cmVjdCB4PSIyMCIgeT0iNTUyIiB3aWR0aD0iNTk0IiBoZWlnaHQ9IjEwMCIgY2xhc3M9Imdyb3VwLXJlY3QiIHJ4PSI2Ij48L3JlY3Q+CgogICAgICAgIDxyZWN0IHg9IjQwIiB5PSI1ODgiIHdpZHRoPSIyMDAiIGhlaWdodD0iNTAiIGNsYXNzPSJuLW11dGVkIiByeD0iNCI+PC9yZWN0PgogICAgICAgIDx0ZXh0IHg9IjE0MCIgeT0iNjA4IiB0ZXh0LWFuY2hvcj0ibWlkZGxlIiBjbGFzcz0ibm9kZS1sYWJlbCBhbmNob3IiPkZpc2gtc3RvY2sgdmFsdWUgKFNFRUEgQ0YpPHRzcGFuIHg9IjE0MCIgZHk9IjE1IiBjbGFzcz0ibm9kZS1kZXNjIj5TdGFuZC1hbG9uZSBuYXR1cmFsLXJlc291cmNlIGFzc2V0PC90c3Bhbj48L3RleHQ+CgogICAgICAgIDxyZWN0IHg9IjM5NCIgeT0iNTg4IiB3aWR0aD0iMjAwIiBoZWlnaHQ9IjUwIiBjbGFzcz0ibi1tdXRlZCIgcng9IjQiPjwvcmVjdD4KICAgICAgICA8dGV4dCB4PSI0OTQiIHk9IjYwOCIgdGV4dC1hbmNob3I9Im1pZGRsZSIgY2xhc3M9Im5vZGUtbGFiZWwgYW5jaG9yIj5FY29zeXN0ZW0gYXNzZXQgdG90YWw8dHNwYW4geD0iNDk0IiBkeT0iMTUiIGNsYXNzPSJub2RlLWRlc2MiPlNFRUEgRUE7IGl0cyBzZXJ2aWNlcyB2YWx1ZSB0aGUgc3RvY2s8L3RzcGFuPjwvdGV4dD4KCiAgICAgICAgPGxpbmUgeDE9IjMxNS4yNSIgeTE9IjU5MCIgeDI9IjMxNS4yNSIgeTI9IjY0MiIgY2xhc3M9ImVkZ2UtYm91bmRhcnkiPjwvbGluZT4KICAgICAgICA8bGluZSB4MT0iMzE4Ljc1IiB5MT0iNTkwIiB4Mj0iMzE4Ljc1IiB5Mj0iNjQyIiBjbGFzcz0iZWRnZS1ib3VuZGFyeSI+PC9saW5lPgogICAgICAgIDx0ZXh0IHg9IjMxNyIgeT0iNTc4IiB0ZXh0LWFuY2hvcj0ibWlkZGxlIiBjbGFzcz0iYm91bmRhcnktbGFiZWwiPk1VU1QgTk9UIEJFIFNVTU1FRDwvdGV4dD4KCiAgICAgICAgPCEtLSA9PT09PSBLZXkgPT09PT0gLS0+CiAgICAgICAgPHRleHQgeD0iNjg0IiB5PSI1MjQiIGNsYXNzPSJncm91cC1sYWJlbCI+S2V5PC90ZXh0PgogICAgICAgIDxsaW5lIHgxPSI2ODQiIHkxPSI1NDYiIHgyPSI3MTYiIHkyPSI1NDYiIGNsYXNzPSJlZGdlIj48L2xpbmU+CiAgICAgICAgPHRleHQgeD0iNzI0IiB5PSI1NDkiIGNsYXNzPSJsZWdlbmQtbGFiZWwiPlJlY29uY2lsaWF0aW9uOiBtdXN0IGFncmVlIHdpdGhpbjx0c3BhbiB4PSI3MjQiIGR5PSIxMyI+dGhlIHBsYW4mIzM5O3MgdG9sZXJhbmNlLCBvciB0aGU8L3RzcGFuPjx0c3BhbiB4PSI3MjQiIGR5PSIxMyI+ZGlmZmVyZW5jZSBpcyBleHBsYWluZWQ8L3RzcGFuPjwvdGV4dD4KICAgICAgICA8bGluZSB4MT0iNjg0IiB5MT0iNTk2IiB4Mj0iNzE2IiB5Mj0iNTk2IiBjbGFzcz0iZWRnZS12ZXJpZnkiPjwvbGluZT4KICAgICAgICA8dGV4dCB4PSI3MjQiIHk9IjU5OSIgY2xhc3M9ImxlZ2VuZC1sYWJlbCI+VmVyaWZpY2F0aW9uOiBhIGdhcCBzaG93cyB3aGVyZTx0c3BhbiB4PSI3MjQiIGR5PSIxMyI+dG8gbG9vazsgaXQgY2Fubm90IGNvbmZpcm08L3RzcGFuPjwvdGV4dD4KICAgICAgICA8bGluZSB4MT0iNjg0IiB5MT0iNjM2LjI1IiB4Mj0iNzE2IiB5Mj0iNjM2LjI1IiBjbGFzcz0iZWRnZS1ib3VuZGFyeSI+PC9saW5lPgogICAgICAgIDxsaW5lIHgxPSI2ODQiIHkxPSI2MzkuNzUiIHgyPSI3MTYiIHkyPSI2MzkuNzUiIGNsYXNzPSJlZGdlLWJvdW5kYXJ5Ij48L2xpbmU+CiAgICAgICAgPHRleHQgeD0iNzI0IiB5PSI2NDIiIGNsYXNzPSJsZWdlbmQtbGFiZWwiPk11c3Qgbm90IGJlIHN1bW1lZDwvdGV4dD4KICAgICAgPC9zdmc+"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3.16.4</w:t>
            </w:r>
            <w:r>
              <w:rPr>
                <w:lang w:val="en"/>
              </w:rPr>
              <w:t xml:space="preserve"> </w:t>
            </w:r>
            <w:r>
              <w:rPr>
                <w:lang w:val="en"/>
              </w:rPr>
              <w:t xml:space="preserve">The asset account is reconciled with neighbouring accounts and verified against independent data; each spoke names its check and owning circular.</w:t>
            </w:r>
            <w:r>
              <w:rPr>
                <w:lang w:val="en"/>
              </w:rPr>
              <w:t xml:space="preserve"> </w:t>
            </w:r>
            <w:r>
              <w:rPr>
                <w:lang w:val="en"/>
              </w:rPr>
              <w:t xml:space="preserve">Source:</w:t>
            </w:r>
            <w:r>
              <w:rPr>
                <w:lang w:val="en"/>
              </w:rPr>
              <w:t xml:space="preserve"> </w:t>
            </w:r>
            <w:r>
              <w:rPr>
                <w:lang w:val="en"/>
              </w:rPr>
              <w:t xml:space="preserve">TG-3.1 Step 6; TG-3.2; TG-3.7; TG-3.11; TG-6.2; IPCC (2006) Vol. 1, Ch. 6, Section 6.10; IMF DQAF element 3.4.</w:t>
            </w:r>
            <w:r>
              <w:rPr>
                <w:lang w:val="en"/>
              </w:rPr>
              <w:t xml:space="preserve"> </w:t>
            </w:r>
            <w:r>
              <w:rPr>
                <w:lang w:val="en"/>
              </w:rPr>
              <w:t xml:space="preserve">Note:</w:t>
            </w:r>
            <w:r>
              <w:rPr>
                <w:lang w:val="en"/>
              </w:rPr>
              <w:t xml:space="preserve"> </w:t>
            </w:r>
            <w:r>
              <w:rPr>
                <w:lang w:val="en"/>
              </w:rPr>
              <w:t xml:space="preserve">Reconciliation pairs must agree within the tolerance in the QA/QC plan or be explained in the log.</w:t>
            </w:r>
          </w:p>
        </w:tc>
      </w:tr>
    </w:tbl>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ID</w:t>
            </w:r>
          </w:p>
        </w:tc>
        <w:tc>
          <w:tcPr/>
          <w:p>
            <w:pPr>
              <w:pStyle w:val="Compact"/>
              <w:jc w:val="left"/>
            </w:pPr>
            <w:r>
              <w:rPr>
                <w:lang w:val="en"/>
              </w:rPr>
              <w:t xml:space="preserve">Asset-account cell</w:t>
            </w:r>
          </w:p>
        </w:tc>
        <w:tc>
          <w:tcPr/>
          <w:p>
            <w:pPr>
              <w:pStyle w:val="Compact"/>
              <w:jc w:val="left"/>
            </w:pPr>
            <w:r>
              <w:rPr>
                <w:lang w:val="en"/>
              </w:rPr>
              <w:t xml:space="preserve">Must agree with</w:t>
            </w:r>
          </w:p>
        </w:tc>
        <w:tc>
          <w:tcPr/>
          <w:p>
            <w:pPr>
              <w:pStyle w:val="Compact"/>
              <w:jc w:val="left"/>
            </w:pPr>
            <w:r>
              <w:rPr>
                <w:lang w:val="en"/>
              </w:rPr>
              <w:t xml:space="preserve">Owner</w:t>
            </w:r>
          </w:p>
        </w:tc>
      </w:tr>
      <w:tr>
        <w:tc>
          <w:tcPr/>
          <w:p>
            <w:pPr>
              <w:pStyle w:val="Compact"/>
              <w:jc w:val="left"/>
            </w:pPr>
            <w:r>
              <w:rPr>
                <w:lang w:val="en"/>
              </w:rPr>
              <w:t xml:space="preserve">AQ-RC1</w:t>
            </w:r>
          </w:p>
        </w:tc>
        <w:tc>
          <w:tcPr/>
          <w:p>
            <w:pPr>
              <w:pStyle w:val="Compact"/>
              <w:jc w:val="left"/>
            </w:pPr>
            <w:r>
              <w:rPr>
                <w:lang w:val="en"/>
              </w:rPr>
              <w:t xml:space="preserve">Extraction</w:t>
            </w:r>
          </w:p>
        </w:tc>
        <w:tc>
          <w:tcPr/>
          <w:p>
            <w:pPr>
              <w:pStyle w:val="Compact"/>
              <w:jc w:val="left"/>
            </w:pPr>
            <w:r>
              <w:rPr>
                <w:lang w:val="en"/>
              </w:rPr>
              <w:t xml:space="preserve">Natural-resource input in the physical supply and use table</w:t>
            </w:r>
          </w:p>
        </w:tc>
        <w:tc>
          <w:tcPr/>
          <w:p>
            <w:pPr>
              <w:pStyle w:val="Compact"/>
              <w:jc w:val="left"/>
            </w:pPr>
            <w:r>
              <w:rPr>
                <w:lang w:val="en"/>
              </w:rPr>
              <w:t xml:space="preserve">TG-3.2; TG-3.1 Step 6</w:t>
            </w:r>
          </w:p>
        </w:tc>
      </w:tr>
      <w:tr>
        <w:tc>
          <w:tcPr/>
          <w:p>
            <w:pPr>
              <w:pStyle w:val="Compact"/>
              <w:jc w:val="left"/>
            </w:pPr>
            <w:r>
              <w:rPr>
                <w:lang w:val="en"/>
              </w:rPr>
              <w:t xml:space="preserve">AQ-RC2</w:t>
            </w:r>
          </w:p>
        </w:tc>
        <w:tc>
          <w:tcPr/>
          <w:p>
            <w:pPr>
              <w:pStyle w:val="Compact"/>
              <w:jc w:val="left"/>
            </w:pPr>
            <w:r>
              <w:rPr>
                <w:lang w:val="en"/>
              </w:rPr>
              <w:t xml:space="preserve">Depletion</w:t>
            </w:r>
          </w:p>
        </w:tc>
        <w:tc>
          <w:tcPr/>
          <w:p>
            <w:pPr>
              <w:pStyle w:val="Compact"/>
              <w:jc w:val="left"/>
            </w:pPr>
            <w:r>
              <w:rPr>
                <w:lang w:val="en"/>
              </w:rPr>
              <w:t xml:space="preserve">Depletion deducted in net domestic product</w:t>
            </w:r>
          </w:p>
        </w:tc>
        <w:tc>
          <w:tcPr/>
          <w:p>
            <w:pPr>
              <w:pStyle w:val="Compact"/>
              <w:jc w:val="left"/>
            </w:pPr>
            <w:r>
              <w:rPr>
                <w:lang w:val="en"/>
              </w:rPr>
              <w:t xml:space="preserve">TG-3.1 Step 6</w:t>
            </w:r>
          </w:p>
        </w:tc>
      </w:tr>
      <w:tr>
        <w:tc>
          <w:tcPr/>
          <w:p>
            <w:pPr>
              <w:pStyle w:val="Compact"/>
              <w:jc w:val="left"/>
            </w:pPr>
            <w:r>
              <w:rPr>
                <w:lang w:val="en"/>
              </w:rPr>
              <w:t xml:space="preserve">AQ-RC3</w:t>
            </w:r>
          </w:p>
        </w:tc>
        <w:tc>
          <w:tcPr/>
          <w:p>
            <w:pPr>
              <w:pStyle w:val="Compact"/>
              <w:jc w:val="left"/>
            </w:pPr>
            <w:r>
              <w:rPr>
                <w:lang w:val="en"/>
              </w:rPr>
              <w:t xml:space="preserve">Aquaculture harvest</w:t>
            </w:r>
          </w:p>
        </w:tc>
        <w:tc>
          <w:tcPr/>
          <w:p>
            <w:pPr>
              <w:pStyle w:val="Compact"/>
              <w:jc w:val="left"/>
            </w:pPr>
            <w:r>
              <w:rPr>
                <w:lang w:val="en"/>
              </w:rPr>
              <w:t xml:space="preserve">Harvest in the production account</w:t>
            </w:r>
          </w:p>
        </w:tc>
        <w:tc>
          <w:tcPr/>
          <w:p>
            <w:pPr>
              <w:pStyle w:val="Compact"/>
              <w:jc w:val="left"/>
            </w:pPr>
            <w:r>
              <w:rPr>
                <w:lang w:val="en"/>
              </w:rPr>
              <w:t xml:space="preserve">TG-3.9</w:t>
            </w:r>
          </w:p>
        </w:tc>
      </w:tr>
      <w:tr>
        <w:tc>
          <w:tcPr/>
          <w:p>
            <w:pPr>
              <w:pStyle w:val="Compact"/>
              <w:jc w:val="left"/>
            </w:pPr>
            <w:r>
              <w:rPr>
                <w:lang w:val="en"/>
              </w:rPr>
              <w:t xml:space="preserve">AQ-RC4</w:t>
            </w:r>
          </w:p>
        </w:tc>
        <w:tc>
          <w:tcPr/>
          <w:p>
            <w:pPr>
              <w:pStyle w:val="Compact"/>
              <w:jc w:val="left"/>
            </w:pPr>
            <w:r>
              <w:rPr>
                <w:lang w:val="en"/>
              </w:rPr>
              <w:t xml:space="preserve">Total resource rent</w:t>
            </w:r>
          </w:p>
        </w:tc>
        <w:tc>
          <w:tcPr/>
          <w:p>
            <w:pPr>
              <w:pStyle w:val="Compact"/>
              <w:jc w:val="left"/>
            </w:pPr>
            <w:r>
              <w:rPr>
                <w:lang w:val="en"/>
              </w:rPr>
              <w:t xml:space="preserve">Government rent receipts and government finance statistics, reconciled, not added</w:t>
            </w:r>
          </w:p>
        </w:tc>
        <w:tc>
          <w:tcPr/>
          <w:p>
            <w:pPr>
              <w:pStyle w:val="Compact"/>
              <w:jc w:val="left"/>
            </w:pPr>
            <w:r>
              <w:rPr>
                <w:lang w:val="en"/>
              </w:rPr>
              <w:t xml:space="preserve">TG-3.7; TG-3.1</w:t>
            </w:r>
          </w:p>
        </w:tc>
      </w:tr>
      <w:tr>
        <w:tc>
          <w:tcPr/>
          <w:p>
            <w:pPr>
              <w:pStyle w:val="Compact"/>
              <w:jc w:val="left"/>
            </w:pPr>
            <w:r>
              <w:rPr>
                <w:lang w:val="en"/>
              </w:rPr>
              <w:t xml:space="preserve">AQ-RC5</w:t>
            </w:r>
          </w:p>
        </w:tc>
        <w:tc>
          <w:tcPr/>
          <w:p>
            <w:pPr>
              <w:pStyle w:val="Compact"/>
              <w:jc w:val="left"/>
            </w:pPr>
            <w:r>
              <w:rPr>
                <w:lang w:val="en"/>
              </w:rPr>
              <w:t xml:space="preserve">Service flows</w:t>
            </w:r>
          </w:p>
        </w:tc>
        <w:tc>
          <w:tcPr/>
          <w:p>
            <w:pPr>
              <w:pStyle w:val="Compact"/>
              <w:jc w:val="left"/>
            </w:pPr>
            <w:r>
              <w:rPr>
                <w:lang w:val="en"/>
              </w:rPr>
              <w:t xml:space="preserve">Extent × condition capacity</w:t>
            </w:r>
          </w:p>
        </w:tc>
        <w:tc>
          <w:tcPr/>
          <w:p>
            <w:pPr>
              <w:pStyle w:val="Compact"/>
              <w:jc w:val="left"/>
            </w:pPr>
            <w:r>
              <w:rPr>
                <w:lang w:val="en"/>
              </w:rPr>
              <w:t xml:space="preserve">TG-3.1 Step 6</w:t>
            </w:r>
          </w:p>
        </w:tc>
      </w:tr>
      <w:tr>
        <w:tc>
          <w:tcPr/>
          <w:p>
            <w:pPr>
              <w:pStyle w:val="Compact"/>
              <w:jc w:val="left"/>
            </w:pPr>
            <w:r>
              <w:rPr>
                <w:lang w:val="en"/>
              </w:rPr>
              <w:t xml:space="preserve">AQ-RC6</w:t>
            </w:r>
          </w:p>
        </w:tc>
        <w:tc>
          <w:tcPr/>
          <w:p>
            <w:pPr>
              <w:pStyle w:val="Compact"/>
              <w:jc w:val="left"/>
            </w:pPr>
            <w:r>
              <w:rPr>
                <w:lang w:val="en"/>
              </w:rPr>
              <w:t xml:space="preserve">Change-matrix margins</w:t>
            </w:r>
          </w:p>
        </w:tc>
        <w:tc>
          <w:tcPr/>
          <w:p>
            <w:pPr>
              <w:pStyle w:val="Compact"/>
              <w:jc w:val="left"/>
            </w:pPr>
            <w:r>
              <w:rPr>
                <w:lang w:val="en"/>
              </w:rPr>
              <w:t xml:space="preserve">Opening and closing extent (run as AQ-ID5)</w:t>
            </w:r>
          </w:p>
        </w:tc>
        <w:tc>
          <w:tcPr/>
          <w:p>
            <w:pPr>
              <w:pStyle w:val="Compact"/>
              <w:jc w:val="left"/>
            </w:pPr>
            <w:r>
              <w:rPr>
                <w:lang w:val="en"/>
              </w:rPr>
              <w:t xml:space="preserve">TG-3.1</w:t>
            </w:r>
          </w:p>
        </w:tc>
      </w:tr>
      <w:tr>
        <w:tc>
          <w:tcPr/>
          <w:p>
            <w:pPr>
              <w:pStyle w:val="Compact"/>
              <w:jc w:val="left"/>
            </w:pPr>
            <w:r>
              <w:rPr>
                <w:lang w:val="en"/>
              </w:rPr>
              <w:t xml:space="preserve">AQ-RC7</w:t>
            </w:r>
          </w:p>
        </w:tc>
        <w:tc>
          <w:tcPr/>
          <w:p>
            <w:pPr>
              <w:pStyle w:val="Compact"/>
              <w:jc w:val="left"/>
            </w:pPr>
            <w:r>
              <w:rPr>
                <w:lang w:val="en"/>
              </w:rPr>
              <w:t xml:space="preserve">Sub-national parts</w:t>
            </w:r>
          </w:p>
        </w:tc>
        <w:tc>
          <w:tcPr/>
          <w:p>
            <w:pPr>
              <w:pStyle w:val="Compact"/>
              <w:jc w:val="left"/>
            </w:pPr>
            <w:r>
              <w:rPr>
                <w:lang w:val="en"/>
              </w:rPr>
              <w:t xml:space="preserve">National totals, with ratios rebuilt from levels</w:t>
            </w:r>
          </w:p>
        </w:tc>
        <w:tc>
          <w:tcPr/>
          <w:p>
            <w:pPr>
              <w:pStyle w:val="Compact"/>
              <w:jc w:val="left"/>
            </w:pPr>
            <w:r>
              <w:rPr>
                <w:lang w:val="en"/>
              </w:rPr>
              <w:t xml:space="preserve">TG-3.11</w:t>
            </w:r>
          </w:p>
        </w:tc>
      </w:tr>
      <w:tr>
        <w:tc>
          <w:tcPr/>
          <w:p>
            <w:pPr>
              <w:pStyle w:val="Compact"/>
              <w:jc w:val="left"/>
            </w:pPr>
            <w:r>
              <w:rPr>
                <w:lang w:val="en"/>
              </w:rPr>
              <w:t xml:space="preserve">AQ-RC8</w:t>
            </w:r>
          </w:p>
        </w:tc>
        <w:tc>
          <w:tcPr/>
          <w:p>
            <w:pPr>
              <w:pStyle w:val="Compact"/>
              <w:jc w:val="left"/>
            </w:pPr>
            <w:r>
              <w:rPr>
                <w:lang w:val="en"/>
              </w:rPr>
              <w:t xml:space="preserve">Carbon stock change</w:t>
            </w:r>
          </w:p>
        </w:tc>
        <w:tc>
          <w:tcPr/>
          <w:p>
            <w:pPr>
              <w:pStyle w:val="Compact"/>
              <w:jc w:val="left"/>
            </w:pPr>
            <w:r>
              <w:rPr>
                <w:lang w:val="en"/>
              </w:rPr>
              <w:t xml:space="preserve">Net sequestration, in sign and order of magnitude</w:t>
            </w:r>
          </w:p>
        </w:tc>
        <w:tc>
          <w:tcPr/>
          <w:p>
            <w:pPr>
              <w:pStyle w:val="Compact"/>
              <w:jc w:val="left"/>
            </w:pPr>
            <w:r>
              <w:rPr>
                <w:lang w:val="en"/>
              </w:rPr>
              <w:t xml:space="preserve">TG-6.2; TG-6.3</w:t>
            </w:r>
          </w:p>
        </w:tc>
      </w:tr>
    </w:tbl>
    <w:p>
      <w:pPr>
        <w:pStyle w:val="BodyText"/>
      </w:pPr>
      <w:r>
        <w:rPr>
          <w:lang w:val="en"/>
        </w:rPr>
        <w:t xml:space="preserve">¶2</w:t>
      </w:r>
      <w:r>
        <w:rPr>
          <w:lang w:val="en"/>
        </w:rPr>
        <w:t xml:space="preserve"> </w:t>
      </w:r>
      <w:r>
        <w:rPr>
          <w:iCs/>
          <w:i/>
          <w:lang w:val="en"/>
        </w:rPr>
        <w:t xml:space="preserve">Table 3.16.6: Reconciliation matrix.</w:t>
      </w:r>
    </w:p>
    <w:p>
      <w:pPr>
        <w:pStyle w:val="BodyText"/>
      </w:pPr>
      <w:r>
        <w:rPr>
          <w:lang w:val="en"/>
        </w:rPr>
        <w:t xml:space="preserve">¶3</w:t>
      </w:r>
      <w:r>
        <w:rPr>
          <w:lang w:val="en"/>
        </w:rPr>
        <w:t xml:space="preserve"> </w:t>
      </w:r>
      <w:r>
        <w:rPr>
          <w:bCs/>
          <w:b/>
          <w:lang w:val="en"/>
        </w:rPr>
        <w:t xml:space="preserve">Verification</w:t>
      </w:r>
      <w:r>
        <w:rPr>
          <w:lang w:val="en"/>
        </w:rPr>
        <w:t xml:space="preserve"> </w:t>
      </w:r>
      <w:r>
        <w:rPr>
          <w:lang w:val="en"/>
        </w:rPr>
        <w:t xml:space="preserve">compares the account with data from outside it</w:t>
      </w:r>
      <w:hyperlink w:anchor="user-content-fn-1">
        <w:r>
          <w:rPr>
            <w:rStyle w:val="Hyperlink"/>
            <w:vertAlign w:val="superscript"/>
            <w:lang w:val="en"/>
          </w:rPr>
          <w:t xml:space="preserve">1</w:t>
        </w:r>
      </w:hyperlink>
      <w:r>
        <w:rPr>
          <w:lang w:val="en"/>
        </w:rPr>
        <w:t xml:space="preserve">,</w:t>
      </w:r>
      <w:r>
        <w:rPr>
          <w:lang w:val="en"/>
        </w:rPr>
        <w:t xml:space="preserve"> </w:t>
      </w:r>
      <w:hyperlink w:anchor="user-content-fn-5">
        <w:r>
          <w:rPr>
            <w:rStyle w:val="Hyperlink"/>
            <w:vertAlign w:val="superscript"/>
            <w:lang w:val="en"/>
          </w:rPr>
          <w:t xml:space="preserve">5</w:t>
        </w:r>
      </w:hyperlink>
      <w:r>
        <w:rPr>
          <w:lang w:val="en"/>
        </w:rPr>
        <w:t xml:space="preserve">. It cannot confirm a figure, because the comparator has its own error, but a large gap shows where to look. The checks are:</w:t>
      </w:r>
    </w:p>
    <w:p>
      <w:pPr>
        <w:numPr>
          <w:ilvl w:val="0"/>
          <w:numId w:val="1008"/>
        </w:numPr>
        <w:pStyle w:val="Compact"/>
      </w:pPr>
      <w:r>
        <w:rPr>
          <w:lang w:val="en"/>
        </w:rPr>
        <w:t xml:space="preserve">¶4</w:t>
      </w:r>
      <w:r>
        <w:rPr>
          <w:lang w:val="en"/>
        </w:rPr>
        <w:t xml:space="preserve"> </w:t>
      </w:r>
      <w:r>
        <w:rPr>
          <w:bCs/>
          <w:b/>
          <w:lang w:val="en"/>
        </w:rPr>
        <w:t xml:space="preserve">AQ-VF1.</w:t>
      </w:r>
      <w:r>
        <w:rPr>
          <w:lang w:val="en"/>
        </w:rPr>
        <w:t xml:space="preserve"> </w:t>
      </w:r>
      <w:r>
        <w:rPr>
          <w:lang w:val="en"/>
        </w:rPr>
        <w:t xml:space="preserve">Extent against a global product; document the cause of a gap over 15% (TG-4.1 Section 3.3.5).</w:t>
      </w:r>
    </w:p>
    <w:p>
      <w:pPr>
        <w:numPr>
          <w:ilvl w:val="0"/>
          <w:numId w:val="1008"/>
        </w:numPr>
        <w:pStyle w:val="Compact"/>
      </w:pPr>
      <w:r>
        <w:rPr>
          <w:lang w:val="en"/>
        </w:rPr>
        <w:t xml:space="preserve">¶5</w:t>
      </w:r>
      <w:r>
        <w:rPr>
          <w:lang w:val="en"/>
        </w:rPr>
        <w:t xml:space="preserve"> </w:t>
      </w:r>
      <w:r>
        <w:rPr>
          <w:bCs/>
          <w:b/>
          <w:lang w:val="en"/>
        </w:rPr>
        <w:t xml:space="preserve">AQ-VF2.</w:t>
      </w:r>
      <w:r>
        <w:rPr>
          <w:lang w:val="en"/>
        </w:rPr>
        <w:t xml:space="preserve"> </w:t>
      </w:r>
      <w:r>
        <w:rPr>
          <w:lang w:val="en"/>
        </w:rPr>
        <w:t xml:space="preserve">Stock against the regional fisheries body’s or the national assessment, and catch against FAO FishStatJ.</w:t>
      </w:r>
    </w:p>
    <w:p>
      <w:pPr>
        <w:numPr>
          <w:ilvl w:val="0"/>
          <w:numId w:val="1008"/>
        </w:numPr>
        <w:pStyle w:val="Compact"/>
      </w:pPr>
      <w:r>
        <w:rPr>
          <w:lang w:val="en"/>
        </w:rPr>
        <w:t xml:space="preserve">¶6</w:t>
      </w:r>
      <w:r>
        <w:rPr>
          <w:lang w:val="en"/>
        </w:rPr>
        <w:t xml:space="preserve"> </w:t>
      </w:r>
      <w:r>
        <w:rPr>
          <w:bCs/>
          <w:b/>
          <w:lang w:val="en"/>
        </w:rPr>
        <w:t xml:space="preserve">AQ-VF3.</w:t>
      </w:r>
      <w:r>
        <w:rPr>
          <w:lang w:val="en"/>
        </w:rPr>
        <w:t xml:space="preserve"> </w:t>
      </w:r>
      <w:r>
        <w:rPr>
          <w:lang w:val="en"/>
        </w:rPr>
        <w:t xml:space="preserve">Mineral and energy reserves against the geological survey.</w:t>
      </w:r>
    </w:p>
    <w:p>
      <w:pPr>
        <w:numPr>
          <w:ilvl w:val="0"/>
          <w:numId w:val="1008"/>
        </w:numPr>
        <w:pStyle w:val="Compact"/>
      </w:pPr>
      <w:r>
        <w:rPr>
          <w:lang w:val="en"/>
        </w:rPr>
        <w:t xml:space="preserve">¶7</w:t>
      </w:r>
      <w:r>
        <w:rPr>
          <w:lang w:val="en"/>
        </w:rPr>
        <w:t xml:space="preserve"> </w:t>
      </w:r>
      <w:r>
        <w:rPr>
          <w:bCs/>
          <w:b/>
          <w:lang w:val="en"/>
        </w:rPr>
        <w:t xml:space="preserve">AQ-VF4.</w:t>
      </w:r>
      <w:r>
        <w:rPr>
          <w:lang w:val="en"/>
        </w:rPr>
        <w:t xml:space="preserve"> </w:t>
      </w:r>
      <w:r>
        <w:rPr>
          <w:lang w:val="en"/>
        </w:rPr>
        <w:t xml:space="preserve">Monetary totals against the national balance sheet.</w:t>
      </w:r>
    </w:p>
    <w:p>
      <w:pPr>
        <w:numPr>
          <w:ilvl w:val="0"/>
          <w:numId w:val="1008"/>
        </w:numPr>
        <w:pStyle w:val="Compact"/>
      </w:pPr>
      <w:r>
        <w:rPr>
          <w:lang w:val="en"/>
        </w:rPr>
        <w:t xml:space="preserve">¶8</w:t>
      </w:r>
      <w:r>
        <w:rPr>
          <w:lang w:val="en"/>
        </w:rPr>
        <w:t xml:space="preserve"> </w:t>
      </w:r>
      <w:r>
        <w:rPr>
          <w:bCs/>
          <w:b/>
          <w:lang w:val="en"/>
        </w:rPr>
        <w:t xml:space="preserve">AQ-VF5.</w:t>
      </w:r>
      <w:r>
        <w:rPr>
          <w:lang w:val="en"/>
        </w:rPr>
        <w:t xml:space="preserve"> </w:t>
      </w:r>
      <w:r>
        <w:rPr>
          <w:lang w:val="en"/>
        </w:rPr>
        <w:t xml:space="preserve">Carbon stocks and flows against the national GHG inventory, with global warming potentials matched to the inventory’s.</w:t>
      </w:r>
    </w:p>
    <w:p>
      <w:pPr>
        <w:pStyle w:val="FirstParagraph"/>
      </w:pPr>
      <w:r>
        <w:rPr>
          <w:lang w:val="en"/>
        </w:rPr>
        <w:t xml:space="preserve">¶9</w:t>
      </w:r>
      <w:r>
        <w:rPr>
          <w:lang w:val="en"/>
        </w:rPr>
        <w:t xml:space="preserve"> </w:t>
      </w:r>
      <w:r>
        <w:rPr>
          <w:bCs/>
          <w:b/>
          <w:lang w:val="en"/>
        </w:rPr>
        <w:t xml:space="preserve">Trend checks.</w:t>
      </w:r>
      <w:r>
        <w:rPr>
          <w:lang w:val="en"/>
        </w:rPr>
        <w:t xml:space="preserve"> </w:t>
      </w:r>
      <w:r>
        <w:rPr>
          <w:lang w:val="en"/>
        </w:rPr>
        <w:t xml:space="preserve">Each cycle is compared with the previous one, following IPCC practice</w:t>
      </w:r>
      <w:hyperlink w:anchor="user-content-fn-1">
        <w:r>
          <w:rPr>
            <w:rStyle w:val="Hyperlink"/>
            <w:vertAlign w:val="superscript"/>
            <w:lang w:val="en"/>
          </w:rPr>
          <w:t xml:space="preserve">1</w:t>
        </w:r>
      </w:hyperlink>
      <w:r>
        <w:rPr>
          <w:lang w:val="en"/>
        </w:rPr>
        <w:t xml:space="preserve">. Implied unit prices and unit rents are compared across years, and any extent change beyond the national threshold in the plan is investigated.</w:t>
      </w:r>
    </w:p>
    <w:bookmarkStart w:id="101" w:name="X211ab4f7800678b9d45164f8e7600299c3f8d47"/>
    <w:p>
      <w:pPr>
        <w:pStyle w:val="Heading3"/>
      </w:pPr>
      <w:r>
        <w:rPr>
          <w:lang w:val="en"/>
        </w:rPr>
        <w:t xml:space="preserve">3.7</w:t>
      </w:r>
      <w:r>
        <w:rPr>
          <w:lang w:val="en"/>
        </w:rPr>
        <w:t xml:space="preserve"> </w:t>
      </w:r>
      <w:r>
        <w:rPr>
          <w:lang w:val="en"/>
        </w:rPr>
        <w:t xml:space="preserve">Quality Flags for Asset Cells</w:t>
      </w:r>
    </w:p>
    <w:p>
      <w:pPr>
        <w:pStyle w:val="FirstParagraph"/>
      </w:pPr>
      <w:hyperlink w:anchor="X211ab4f7800678b9d45164f8e7600299c3f8d47">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Quality Flags for Asset Cells”</w:t>
        </w:r>
      </w:hyperlink>
    </w:p>
    <w:bookmarkEnd w:id="101"/>
    <w:p>
      <w:pPr>
        <w:pStyle w:val="BodyText"/>
      </w:pPr>
      <w:r>
        <w:rPr>
          <w:lang w:val="en"/>
        </w:rPr>
        <w:t xml:space="preserve">¶1</w:t>
      </w:r>
      <w:r>
        <w:rPr>
          <w:lang w:val="en"/>
        </w:rPr>
        <w:t xml:space="preserve"> </w:t>
      </w:r>
      <w:r>
        <w:rPr>
          <w:lang w:val="en"/>
        </w:rPr>
        <w:t xml:space="preserve">TG-0.7 Section 3.6 defines one flag scheme. This Circular applies it to asset cells in two fields, so that a cell can say both how good it is and how it was obtained (Figure 3.16.5):</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03" name="Picture"/>
                  <a:graphic>
                    <a:graphicData uri="http://schemas.openxmlformats.org/drawingml/2006/picture">
                      <pic:pic>
                        <pic:nvPicPr>
                          <pic:cNvPr descr="data:image/svg+xml;base64,PHN2ZyB2aWV3Ym94PSIwIDAgOTIwIDcxNiIgeG1sbnM9Imh0dHA6Ly93d3cudzMub3JnLzIwMDAvc3ZnIiByb2xlPSJpbWciIGFyaWEtbGFiZWxsZWRieT0iZmlndGl0bGUgZmlnZGVzYyI+CiAgICAgICAgPHRpdGxlIGlkPSJmaWctdGctMy0xNi01LWZsYWctZGVjaXNpb24tdHJlZS1maWd0aXRsZSI+VEctMy4xNiAtLSBEZWNpc2lvbiB0cmVlIGZvciBhc3NpZ25pbmcgYSBxdWFsaXR5IGZsYWcgdG8gYW4gYXNzZXQtYWNjb3VudCBjZWxsPC90aXRsZT4KICAgICAgICA8ZGVzYyBpZD0iZmlnLXRnLTMtMTYtNS1mbGFnLWRlY2lzaW9uLXRyZWUtZmlnZGVzYyI+QSBkZWNpc2lvbiB0cmVlIHdpdGggZm91ciBxdWVzdGlvbnMsIHJlYWQgdG9wIHRvIGJvdHRvbSwgYXNzaWducyB0aGUgZmxhZyBmb3Igb25lIGFzc2V0LWFjY291bnQgY2VsbC4gUXVlc3Rpb24gMTogaXMgYSB2YWx1ZSBhdmFpbGFibGU/IElmIG5vdCwgYW4gYXZhaWxhYmlsaXR5IGNvZGUgcmVwbGFjZXMgdGhlIGdyYWRlOiBYIGZvciBzdXBwcmVzc2VkIChmb3IgY29uZmlkZW50aWFsaXR5IG9yIHF1YWxpdHkpLCBuL2EgZm9yIG5vdCBhcHBsaWNhYmxlLCBhbmQgdHdvIGRvdHMgZm9yIG5vdCBhdmFpbGFibGU7IGEgY29uZmlybWVkIHplcm8gaXMgcmVjb3JkZWQgYXMgMCwgbm90IGFzIHR3byBkb3RzIChBUS1FWDYpLiBJZiBhIHZhbHVlIGlzIGF2YWlsYWJsZSwgcXVlc3Rpb24gMiBncmFkZXMgaXQgZnJvbSB0aGUgZXZpZGVuY2UgKEFRLUZMMikgYXMgQSwgQiBvciBDLiBUaGUgaW50ZXJpbSB0aHJlc2hvbGRzLCBwcm9wb3NlZCBmb3IgY29uc3VsdGF0aW9uLCBhcmUgYSByZWxhdGl2ZSA5NSBwZXIgY2VudCBoYWxmLXdpZHRoIG9mIDEwIHBlciBjZW50IG9yIGxlc3MgZm9yIEEsIDMwIHBlciBjZW50IG9yIGxlc3MgZm9yIEIsIGFuZCBvdGhlcndpc2UgQy4gRXh0ZW50IGlzIGdyYWRlZCBmcm9tIHRoZSBhY2N1cmFjeSBhc3Nlc3NtZW50IChBUS1FWDEpIGFuZCB0aGUgYXJlYS1hZGp1c3RlZCBjb25maWRlbmNlIGludGVydmFsLCBzdG9jayBmcm9tIHRoZSBzdG9jayBhc3Nlc3NtZW50LCBhbmQgY29uZGl0aW9uIGZyb20gdGhlIHN0YW5kYXJkIGVycm9yIG9mIHRoZSBpbmRleC4gQSBtb25ldGFyeSBjZWxsIHRha2VzIHRoZSBsb3dlciBvZiBpdHMgcGh5c2ljYWwgYW5kIHZhbHVhdGlvbiBncmFkZXMsIG5ldmVyIHRoZSBoaWdoZXIuIFF1ZXN0aW9uIDMgcmVjb3JkcyB0aGUgc3RhdHVzIGZyb20gaG93IHRoZSB2YWx1ZSB3YXMgb2J0YWluZWQ6IHByb3Zpc2lvbmFsIGdpdmVzIHN0YXR1cyBQOyBlc3RpbWF0ZWQsIG1vZGVsbGVkIG9yIGJlbmVmaXQgdHJhbnNmZXIgZ2l2ZXMgc3RhdHVzIEU7IG1lYXN1cmVkIG9yIGNvbXBpbGVkIGdpdmVzIG5vIHN0YXR1cy4gUXVlc3Rpb24gNCBhc2tzIHdoZXRoZXIgdGhlIGNlbGwgaXMgYW4gYWdncmVnYXRlIChBUS1GTDMpLiBJZiB5ZXMsIGl0IHRha2VzIHRoZSBsb3dlc3QgZ3JhZGUgb2YgaXRzIGlucHV0cyBhbmQgdGhlIHN0YXR1cyBvZiBhbnkgaW5wdXQ7IGFuIGlucHV0IHVuZGVyIDUgcGVyIGNlbnQgb2YgdGhlIGFnZ3JlZ2F0ZSBtYXkgYmUgc2V0IGFzaWRlIG9ubHkgaWYgZG9jdW1lbnRlZCwgdW5kZXIgdGhlIGV4Y2VwdGlvbiBpbiBURy0wLjcgU2VjdGlvbiAzLjYuIElmIG5vLCB0aGUgZmxhZyBzdGFuZHMgYXMgYXNzaWduZWQuIFRoZSBvdXRwdXQgaXMgdGhlIHByaW50ZWQgZmxhZywgZ3JhZGUgdGhlbiBzdGF0dXMsIGZvciBleGFtcGxlIEEgaW4gYnJhY2tldHMsIEIgZG90IEUgaW4gYnJhY2tldHMsIG9yIEMgZG90IEUgaW4gYnJhY2tldHMuIEEgc2lkZSBub3RlIHNheXMgdGhhdCB0aGUgU0RNWCBPQlNfU1RBVFVTIGF0dHJpYnV0ZSBnb2VzIGluIGl0cyBvd24gZmllbGQgYW5kIGlzIG5ldmVyIHByaW50ZWQgYXMgdGhlIGdyYWRlLCBiZWNhdXNlIEEgbWVhbnMgbm9ybWFsIGluIFNETVggYnV0IGhpZ2ggcXVhbGl0eSBpbiBURy0wLjcuIEEgbGVnZW5kIHNob3dzIGhvdyBsb2NhbCBzY2FsZXMgbWFwIGluOiBoaWdoLCBtZWRpdW0gYW5kIGxvdyBjb25maWRlbmNlIG1hcCB0byBBLCBCIGFuZCBDOyBjb25kaXRpb25hbGx5IGFjY2VwdGVkIG1hcHMgdG8gQzsgcHJvdmlzaW9uYWwsIGluZGljYXRpdmUgb3IgZmFsbGJhY2sgdmFsdWVzIG1hcCB0byBQOyBtb2RlbGxlZCwgYmVuZWZpdC10cmFuc2ZlciBvciB0cmFkaXRpb25hbC1rbm93bGVkZ2UtZGVyaXZlZCB2YWx1ZXMgbWFwIHRvIEU7IGFuZCBkYXRhIGhlbGQgYnV0IHdpdGggcHVibGljYXRpb24gcmVzdHJpY3RlZCBtYXBzIHRvIFguPC9kZXNjPgoKICAgICAgICA8ZGVmcz4KICAgICAgICAgIDxtYXJrZXIgaWQ9ImZpZy10Zy0zLTE2LTUtZmxhZy1kZWNpc2lvbi10cmVl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PT09PT0gU1RBUlQgPT09PT0gLS0+CiAgICAgICAgPHJlY3QgeD0iMTIwIiB5PSIyMiIgd2lkdGg9IjIwMCIgaGVpZ2h0PSIzNiIgY2xhc3M9Im4tYW5jaG9yIiByeD0iNCI+PC9yZWN0PgogICAgICAgIDx0ZXh0IHg9IjIyMCIgeT0iNDQiIHRleHQtYW5jaG9yPSJtaWRkbGUiIGNsYXNzPSJub2RlLWxhYmVsIGFuY2hvciI+T25lIGFzc2V0LWFjY291bnQgY2VsbDwvdGV4dD4KICAgICAgICA8cGF0aCBkPSJNMjIwLDU4IEwyMjAsODciIGNsYXNzPSJlZGdlIiBtYXJrZXItZW5kPSJ1cmwoI2ZpZy10Zy0zLTE2LTUtZmxhZy1kZWNpc2lvbi10cmVlLWFycm93KSI+PC9wYXRoPgoKICAgICAgICA8IS0tID09PT09IFExOiBhdmFpbGFiaWxpdHkgPT09PT0gLS0+CiAgICAgICAgPHJlY3QgeD0iNjAiIHk9Ijg4IiB3aWR0aD0iMzIwIiBoZWlnaHQ9IjQ0IiBjbGFzcz0ibi1kZWNpc2lvbiIgcng9IjQiPjwvcmVjdD4KICAgICAgICA8dGV4dCB4PSI4NCIgeT0iMTE0IiBjbGFzcz0ic3RlcC1ubyI+MTwvdGV4dD4KICAgICAgICA8dGV4dCB4PSIyMjgiIHk9IjExNCIgdGV4dC1hbmNob3I9Im1pZGRsZSIgY2xhc3M9Im5vZGUtbGFiZWwgYW5jaG9yIj5JcyBhIHZhbHVlIGF2YWlsYWJsZT88L3RleHQ+CgogICAgICAgIDxwYXRoIGQ9Ik0zODAsMTEwIEw0NjksMTEwIiBjbGFzcz0iZWRnZSIgbWFya2VyLWVuZD0idXJsKCNmaWctdGctMy0xNi01LWZsYWctZGVjaXNpb24tdHJlZS1hcnJvdykiPjwvcGF0aD4KICAgICAgICA8cmVjdCB4PSI0MTIiIHk9IjEwMCIgd2lkdGg9IjI2IiBoZWlnaHQ9IjE0IiBjbGFzcz0iZWRnZS1sYWJlbC1iZyI+PC9yZWN0PgogICAgICAgIDx0ZXh0IHg9IjQyNSIgeT0iMTExIiB0ZXh0LWFuY2hvcj0ibWlkZGxlIiBjbGFzcz0iZWRnZS1sYWJlbCI+Tm88L3RleHQ+CgogICAgICAgIDxyZWN0IHg9IjQ3MCIgeT0iNjgiIHdpZHRoPSI0MTAiIGhlaWdodD0iMTA4IiBjbGFzcz0ibi1tdXRlZCIgcng9IjQiPjwvcmVjdD4KICAgICAgICA8dGV4dCB4PSI0ODgiIHk9Ijg4IiBjbGFzcz0ibm9kZS1sYWJlbCBhbmNob3IiPkF2YWlsYWJpbGl0eSBjb2RlIHJlcGxhY2VzIHRoZSBncmFkZTwvdGV4dD4KICAgICAgICA8dGV4dCB4PSI0ODgiIHk9IjEwOCIgY2xhc3M9ImNvZGUiPlg8L3RleHQ+CiAgICAgICAgPHRleHQgeD0iNTMwIiB5PSIxMDgiIGNsYXNzPSJkZXRhaWwiPnN1cHByZXNzZWQgKGNvbmZpZGVudGlhbGl0eSBvciBxdWFsaXR5KTwvdGV4dD4KICAgICAgICA8dGV4dCB4PSI0ODgiIHk9IjEyNiIgY2xhc3M9ImNvZGUiPm4vYTwvdGV4dD4KICAgICAgICA8dGV4dCB4PSI1MzAiIHk9IjEyNiIgY2xhc3M9ImRldGFpbCI+bm90IGFwcGxpY2FibGU8L3RleHQ+CiAgICAgICAgPHRleHQgeD0iNDg4IiB5PSIxNDQiIGNsYXNzPSJjb2RlIj4uLjwvdGV4dD4KICAgICAgICA8dGV4dCB4PSI1MzAiIHk9IjE0NCIgY2xhc3M9ImRldGFpbCI+bm90IGF2YWlsYWJsZTwvdGV4dD4KICAgICAgICA8dGV4dCB4PSI0ODgiIHk9IjE2NiIgY2xhc3M9ImFubm90YXRpb24iPkEgY29uZmlybWVkIHplcm8gaXMgcmVjb3JkZWQgYXMgMCwgbm90ICYjMzk7Li4mIzM5OyAoQVEtRVg2KTwvdGV4dD4KCiAgICAgICAgPHBhdGggZD0iTTIyMCwxMzIgTDIyMCwxOTUiIGNsYXNzPSJlZGdlIiBtYXJrZXItZW5kPSJ1cmwoI2ZpZy10Zy0zLTE2LTUtZmxhZy1kZWNpc2lvbi10cmVlLWFycm93KSI+PC9wYXRoPgogICAgICAgIDxyZWN0IHg9IjIwNSIgeT0iMTU2IiB3aWR0aD0iMzAiIGhlaWdodD0iMTQiIGNsYXNzPSJlZGdlLWxhYmVsLWJnIj48L3JlY3Q+CiAgICAgICAgPHRleHQgeD0iMjIwIiB5PSIxNjciIHRleHQtYW5jaG9yPSJtaWRkbGUiIGNsYXNzPSJlZGdlLWxhYmVsIj5ZZXM8L3RleHQ+CgogICAgICAgIDwhLS0gPT09PT0gUTI6IGdyYWRlID09PT09IC0tPgogICAgICAgIDxyZWN0IHg9IjYwIiB5PSIxOTYiIHdpZHRoPSIzMjAiIGhlaWdodD0iNDQiIGNsYXNzPSJuLWRlY2lzaW9uIiByeD0iNCI+PC9yZWN0PgogICAgICAgIDx0ZXh0IHg9Ijg0IiB5PSIyMjIiIGNsYXNzPSJzdGVwLW5vIj4yPC90ZXh0PgogICAgICAgIDx0ZXh0IHg9IjIyOCIgeT0iMjE1IiB0ZXh0LWFuY2hvcj0ibWlkZGxlIiBjbGFzcz0ibm9kZS1sYWJlbCBhbmNob3IiPkdyYWRlIGZyb20gdGhlIGV2aWRlbmNlPHRzcGFuIHg9IjIyOCIgZHk9IjE1IiBjbGFzcz0ibm9kZS1kZXNjIj5BUS1GTDI8L3RzcGFuPjwvdGV4dD4KCiAgICAgICAgPHBhdGggZD0iTTM4MCwyMTggTDQ2OSwyMTgiIGNsYXNzPSJlZGdlLWRhc2hlZCIgbWFya2VyLWVuZD0idXJsKCNmaWctdGctMy0xNi01LWZsYWctZGVjaXNpb24tdHJlZS1hcnJvdykiPjwvcGF0aD4KICAgICAgICA8cmVjdCB4PSI0MDYiIHk9IjIwOCIgd2lkdGg9IjM4IiBoZWlnaHQ9IjE0IiBjbGFzcz0iZWRnZS1sYWJlbC1iZyI+PC9yZWN0PgogICAgICAgIDx0ZXh0IHg9IjQyNSIgeT0iMjE5IiB0ZXh0LWFuY2hvcj0ibWlkZGxlIiBjbGFzcz0iZWRnZS1sYWJlbCI+YmFzaXM8L3RleHQ+CgogICAgICAgIDxyZWN0IHg9IjQ3MCIgeT0iMTkwIiB3aWR0aD0iNDEwIiBoZWlnaHQ9IjEwNCIgY2xhc3M9Imdyb3VwLXJlY3QiIHJ4PSI0Ij48L3JlY3Q+CiAgICAgICAgPHRleHQgeD0iNDg4IiB5PSIyMDkiIGNsYXNzPSJub2RlLWxhYmVsIGFuY2hvciI+SW50ZXJpbSB0aHJlc2hvbGRzIChwcm9wb3NlZCk8L3RleHQ+CiAgICAgICAgPHRleHQgeD0iNDg4IiB5PSIyMjYiIGNsYXNzPSJkZXRhaWwiPlJlbGF0aXZlIDk1JSBoYWxmLXdpZHRoOiDiiaQxMCUg4oaSIEE7ICDiiaQzMCUg4oaSIEI7ICBvdGhlcndpc2UgQzwvdGV4dD4KICAgICAgICA8dGV4dCB4PSI0ODgiIHk9IjI0MyIgY2xhc3M9ImRldGFpbCI+RXh0ZW50OiBhY2N1cmFjeSBhc3Nlc3NtZW50IChBUS1FWDEpIGFuZCBhcmVhLWFkanVzdGVkIENJPC90ZXh0PgogICAgICAgIDx0ZXh0IHg9IjQ4OCIgeT0iMjU5IiBjbGFzcz0iZGV0YWlsIj5TdG9jazogc3RvY2sgYXNzZXNzbWVudCAgwrcgIENvbmRpdGlvbjogaW5kZXggc3RhbmRhcmQgZXJyb3I8L3RleHQ+CiAgICAgICAgPHRleHQgeD0iNDg4IiB5PSIyODAiIGNsYXNzPSJkZXRhaWwiIGZvbnQtd2VpZ2h0PSI2MDAiPk1vbmV0YXJ5IGNlbGw6IGxvd2VyIG9mIHBoeXNpY2FsIGFuZCB2YWx1YXRpb24gZ3JhZGVzLCBuZXZlciBoaWdoZXI8L3RleHQ+CgogICAgICAgIDxwYXRoIGQ9Ik0yMjAsMjQwIEwyMjAsMzE3IiBjbGFzcz0iZWRnZSIgbWFya2VyLWVuZD0idXJsKCNmaWctdGctMy0xNi01LWZsYWctZGVjaXNpb24tdHJlZS1hcnJvdykiPjwvcGF0aD4KICAgICAgICA8cmVjdCB4PSIxNzgiIHk9IjI3MiIgd2lkdGg9Ijg0IiBoZWlnaHQ9IjE0IiBjbGFzcz0iZWRnZS1sYWJlbC1iZyI+PC9yZWN0PgogICAgICAgIDx0ZXh0IHg9IjIyMCIgeT0iMjgzIiB0ZXh0LWFuY2hvcj0ibWlkZGxlIiBjbGFzcz0iZWRnZS1sYWJlbCI+Z3JhZGUgQSAvIEIgLyBDPC90ZXh0PgoKICAgICAgICA8IS0tID09PT09IFEzOiBzdGF0dXMgPT09PT0gLS0+CiAgICAgICAgPHJlY3QgeD0iNjAiIHk9IjMxOCIgd2lkdGg9IjMyMCIgaGVpZ2h0PSI0NCIgY2xhc3M9Im4tZGVjaXNpb24iIHJ4PSI0Ij48L3JlY3Q+CiAgICAgICAgPHRleHQgeD0iODQiIHk9IjM0NCIgY2xhc3M9InN0ZXAtbm8iPjM8L3RleHQ+CiAgICAgICAgPHRleHQgeD0iMjI4IiB5PSIzNDQiIHRleHQtYW5jaG9yPSJtaWRkbGUiIGNsYXNzPSJub2RlLWxhYmVsIGFuY2hvciI+U3RhdHVzOiBob3cgd2FzIGl0IG9idGFpbmVkPzwvdGV4dD4KCiAgICAgICAgPHBhdGggZD0iTTM4MCwzNDAgTDQ0MCwzNDAiIGNsYXNzPSJlZGdlIj48L3BhdGg+CiAgICAgICAgPHBhdGggZD0iTTQ0MCwzMTUgTDQ0MCwzNzkiIGNsYXNzPSJlZGdlIj48L3BhdGg+CiAgICAgICAgPHBhdGggZD0iTTQ0MCwzMTUgTDUxOSwzMTUiIGNsYXNzPSJlZGdlIiBtYXJrZXItZW5kPSJ1cmwoI2ZpZy10Zy0zLTE2LTUtZmxhZy1kZWNpc2lvbi10cmVlLWFycm93KSI+PC9wYXRoPgogICAgICAgIDxwYXRoIGQ9Ik00NDAsMzQ3IEw1MTksMzQ3IiBjbGFzcz0iZWRnZSIgbWFya2VyLWVuZD0idXJsKCNmaWctdGctMy0xNi01LWZsYWctZGVjaXNpb24tdHJlZS1hcnJvdykiPjwvcGF0aD4KICAgICAgICA8cGF0aCBkPSJNNDQwLDM3OSBMNTE5LDM3OSIgY2xhc3M9ImVkZ2UiIG1hcmtlci1lbmQ9InVybCgjZmlnLXRnLTMtMTYtNS1mbGFnLWRlY2lzaW9uLXRyZWUtYXJyb3cpIj48L3BhdGg+CgogICAgICAgIDxyZWN0IHg9IjUyMCIgeT0iMzAyIiB3aWR0aD0iMzYwIiBoZWlnaHQ9IjI2IiBjbGFzcz0ibi1wcm9jZXNzIiByeD0iNCI+PC9yZWN0PgogICAgICAgIDx0ZXh0IHg9IjUzNiIgeT0iMzE5IiBjbGFzcz0ibm9kZS1sYWJlbCI+UHJvdmlzaW9uYWw8L3RleHQ+CiAgICAgICAgPHRleHQgeD0iODY0IiB5PSIzMTkiIHRleHQtYW5jaG9yPSJlbmQiIGNsYXNzPSJjb2RlIj5QPC90ZXh0PgogICAgICAgIDxyZWN0IHg9IjUyMCIgeT0iMzM0IiB3aWR0aD0iMzYwIiBoZWlnaHQ9IjI2IiBjbGFzcz0ibi1wcm9jZXNzIiByeD0iNCI+PC9yZWN0PgogICAgICAgIDx0ZXh0IHg9IjUzNiIgeT0iMzUxIiBjbGFzcz0ibm9kZS1sYWJlbCI+RXN0aW1hdGVkLCBtb2RlbGxlZCBvciBiZW5lZml0IHRyYW5zZmVyPC90ZXh0PgogICAgICAgIDx0ZXh0IHg9Ijg2NCIgeT0iMzUxIiB0ZXh0LWFuY2hvcj0iZW5kIiBjbGFzcz0iY29kZSI+RTwvdGV4dD4KICAgICAgICA8cmVjdCB4PSI1MjAiIHk9IjM2NiIgd2lkdGg9IjM2MCIgaGVpZ2h0PSIyNiIgY2xhc3M9Im4tcHJvY2VzcyIgcng9IjQiPjwvcmVjdD4KICAgICAgICA8dGV4dCB4PSI1MzYiIHk9IjM4MyIgY2xhc3M9Im5vZGUtbGFiZWwiPk1lYXN1cmVkIG9yIGNvbXBpbGVkPC90ZXh0PgogICAgICAgIDx0ZXh0IHg9Ijg2NCIgeT0iMzgzIiB0ZXh0LWFuY2hvcj0iZW5kIiBjbGFzcz0ibm9kZS1sYWJlbCI+bm8gc3RhdHVzPC90ZXh0PgoKICAgICAgICA8cGF0aCBkPSJNMjIwLDM2MiBMMjIwLDQxOSIgY2xhc3M9ImVkZ2UiIG1hcmtlci1lbmQ9InVybCgjZmlnLXRnLTMtMTYtNS1mbGFnLWRlY2lzaW9uLXRyZWUtYXJyb3cpIj48L3BhdGg+CiAgICAgICAgPHJlY3QgeD0iMTc4IiB5PSIzODQiIHdpZHRoPSI4NCIgaGVpZ2h0PSIxNCIgY2xhc3M9ImVkZ2UtbGFiZWwtYmciPjwvcmVjdD4KICAgICAgICA8dGV4dCB4PSIyMjAiIHk9IjM5NSIgdGV4dC1hbmNob3I9Im1pZGRsZSIgY2xhc3M9ImVkZ2UtbGFiZWwiPmdyYWRlICsgc3RhdHVzPC90ZXh0PgoKICAgICAgICA8IS0tID09PT09IFE0OiBhZ2dyZWdhdGUgPT09PT0gLS0+CiAgICAgICAgPHJlY3QgeD0iNjAiIHk9IjQyMCIgd2lkdGg9IjMyMCIgaGVpZ2h0PSI0NCIgY2xhc3M9Im4tZGVjaXNpb24iIHJ4PSI0Ij48L3JlY3Q+CiAgICAgICAgPHRleHQgeD0iODQiIHk9IjQ0NiIgY2xhc3M9InN0ZXAtbm8iPjQ8L3RleHQ+CiAgICAgICAgPHRleHQgeD0iMjI4IiB5PSI0MzkiIHRleHQtYW5jaG9yPSJtaWRkbGUiIGNsYXNzPSJub2RlLWxhYmVsIGFuY2hvciI+SXMgdGhlIGNlbGwgYW4gYWdncmVnYXRlPzx0c3BhbiB4PSIyMjgiIGR5PSIxNSIgY2xhc3M9Im5vZGUtZGVzYyI+QVEtRkwzPC90c3Bhbj48L3RleHQ+CgogICAgICAgIDxwYXRoIGQ9Ik0zODAsNDQyIEw0NjksNDQyIiBjbGFzcz0iZWRnZSIgbWFya2VyLWVuZD0idXJsKCNmaWctdGctMy0xNi01LWZsYWctZGVjaXNpb24tdHJlZS1hcnJvdykiPjwvcGF0aD4KICAgICAgICA8cmVjdCB4PSI0MTAiIHk9IjQzMiIgd2lkdGg9IjMwIiBoZWlnaHQ9IjE0IiBjbGFzcz0iZWRnZS1sYWJlbC1iZyI+PC9yZWN0PgogICAgICAgIDx0ZXh0IHg9IjQyNSIgeT0iNDQzIiB0ZXh0LWFuY2hvcj0ibWlkZGxlIiBjbGFzcz0iZWRnZS1sYWJlbCI+WWVzPC90ZXh0PgoKICAgICAgICA8cmVjdCB4PSI0NzAiIHk9IjQxMiIgd2lkdGg9IjQxMCIgaGVpZ2h0PSI2NCIgY2xhc3M9Im4tcHJvY2VzcyIgcng9IjQiPjwvcmVjdD4KICAgICAgICA8dGV4dCB4PSI0ODgiIHk9IjQzMiIgY2xhc3M9Im5vZGUtbGFiZWwgYW5jaG9yIj5Mb3dlc3QgaW5wdXQgZ3JhZGU7IHN0YXR1cyBvZiBhbnkgaW5wdXQ8L3RleHQ+CiAgICAgICAgPHRleHQgeD0iNDg4IiB5PSI0NDkiIGNsYXNzPSJkZXRhaWwiPkFuIGlucHV0IHVuZGVyIDUlIG9mIHRoZSBhZ2dyZWdhdGUgbWF5IGJlIHNldCBhc2lkZTwvdGV4dD4KICAgICAgICA8dGV4dCB4PSI0ODgiIHk9IjQ2NCIgY2xhc3M9ImRldGFpbCI+b25seSBpZiBkb2N1bWVudGVkIChURy0wLjcgU2VjdGlvbiAzLjYgZXhjZXB0aW9uKTwvdGV4dD4KCiAgICAgICAgPCEtLSBZZXMgYnJhbmNoIHJlam9pbnMgdGhlIG91dHB1dCAtLT4KICAgICAgICA8cGF0aCBkPSJNNTQwLDQ3NiBMNTQwLDUzOCBMMzgxLDUzOCIgY2xhc3M9ImVkZ2UiIG1hcmtlci1lbmQ9InVybCgjZmlnLXRnLTMtMTYtNS1mbGFnLWRlY2lzaW9uLXRyZWUtYXJyb3cpIj48L3BhdGg+CgogICAgICAgIDxwYXRoIGQ9Ik0yMjAsNDY0IEwyMjAsNTE5IiBjbGFzcz0iZWRnZSIgbWFya2VyLWVuZD0idXJsKCNmaWctdGctMy0xNi01LWZsYWctZGVjaXNpb24tdHJlZS1hcnJvdykiPjwvcGF0aD4KICAgICAgICA8cmVjdCB4PSIxNjAiIHk9IjQ4NSIgd2lkdGg9IjEyMCIgaGVpZ2h0PSIxNCIgY2xhc3M9ImVkZ2UtbGFiZWwtYmciPjwvcmVjdD4KICAgICAgICA8dGV4dCB4PSIyMjAiIHk9IjQ5NiIgdGV4dC1hbmNob3I9Im1pZGRsZSIgY2xhc3M9ImVkZ2UtbGFiZWwiPk5vOiBmbGFnIGFzIGFzc2lnbmVkPC90ZXh0PgoKICAgICAgICA8IS0tID09PT09IE9VVFBVVCA9PT09PSAtLT4KICAgICAgICA8cmVjdCB4PSI2MCIgeT0iNTIwIiB3aWR0aD0iMzIwIiBoZWlnaHQ9Ijc2IiBjbGFzcz0ibi1hbmNob3IiIHJ4PSI0Ij48L3JlY3Q+CiAgICAgICAgPHRleHQgeD0iMjIwIiB5PSI1NDIiIHRleHQtYW5jaG9yPSJtaWRkbGUiIGNsYXNzPSJub2RlLWxhYmVsIGFuY2hvciI+UHJpbnRlZCBmbGFnOiBncmFkZSwgdGhlbiBzdGF0dXM8L3RleHQ+CiAgICAgICAgPHRleHQgeD0iMTQ2IiB5PSI1NjgiIHRleHQtYW5jaG9yPSJtaWRkbGUiIGNsYXNzPSJmbGFnLWNoaXAiPltBXTwvdGV4dD4KICAgICAgICA8dGV4dCB4PSIyMjAiIHk9IjU2OCIgdGV4dC1hbmNob3I9Im1pZGRsZSIgY2xhc3M9ImZsYWctY2hpcCI+W0LCt0VdPC90ZXh0PgogICAgICAgIDx0ZXh0IHg9IjI5NCIgeT0iNTY4IiB0ZXh0LWFuY2hvcj0ibWlkZGxlIiBjbGFzcz0iZmxhZy1jaGlwIj5bQ8K3RV08L3RleHQ+CiAgICAgICAgPHRleHQgeD0iMjIwIiB5PSI1ODciIHRleHQtYW5jaG9yPSJtaWRkbGUiIGNsYXNzPSJub2RlLWRlc2MiPmV4YW1wbGVzPC90ZXh0PgoKICAgICAgICA8IS0tID09PT09IFNETVggc2lkZSBub3RlID09PT09IC0tPgogICAgICAgIDxwYXRoIGQ9Ik0zODAsNTc2IEw1NzksNTc2IiBjbGFzcz0iZWRnZS1kYXNoZWQiIG1hcmtlci1lbmQ9InVybCgjZmlnLXRnLTMtMTYtNS1mbGFnLWRlY2lzaW9uLXRyZWUtYXJyb3cpIj48L3BhdGg+CiAgICAgICAgPHJlY3QgeD0iNDM4IiB5PSI1NjYiIHdpZHRoPSI4NCIgaGVpZ2h0PSIxNCIgY2xhc3M9ImVkZ2UtbGFiZWwtYmciPjwvcmVjdD4KICAgICAgICA8dGV4dCB4PSI0ODAiIHk9IjU3NyIgdGV4dC1hbmNob3I9Im1pZGRsZSIgY2xhc3M9ImVkZ2UtbGFiZWwiPmtlcHQgc2VwYXJhdGU8L3RleHQ+CgogICAgICAgIDxyZWN0IHg9IjU4MCIgeT0iNTMwIiB3aWR0aD0iMzAwIiBoZWlnaHQ9IjcyIiBjbGFzcz0ibi1leHRlcm5hbCIgcng9IjQiPjwvcmVjdD4KICAgICAgICA8dGV4dCB4PSI1OTYiIHk9IjU1MCIgY2xhc3M9Im5vZGUtbGFiZWwgYW5jaG9yIj5TRE1YIE9CU19TVEFUVVM6IGl0cyBvd24gZmllbGQ8L3RleHQ+CiAgICAgICAgPHRleHQgeD0iNTk2IiB5PSI1NjgiIGNsYXNzPSJkZXRhaWwiPk5ldmVyIHByaW50ZWQgYXMgdGhlIGdyYWRlOiAmcXVvdDtBJnF1b3Q7IG1lYW5zPC90ZXh0PgogICAgICAgIDx0ZXh0IHg9IjU5NiIgeT0iNTg0IiBjbGFzcz0iZGV0YWlsIj48dHNwYW4gZm9udC1zdHlsZT0iaXRhbGljIj5ub3JtYWw8L3RzcGFuPiBpbiBTRE1YIGJ1dCA8dHNwYW4gZm9udC1zdHlsZT0iaXRhbGljIj5oaWdoIHF1YWxpdHk8L3RzcGFuPiBpbiBURy0wLjc8L3RleHQ+CgogICAgICAgIDwhLS0gPT09PT0gTEVHRU5EOiBsb2NhbCBzY2FsZXMgPT09PT0gLS0+CiAgICAgICAgPHJlY3QgeD0iNDAiIHk9IjYyMCIgd2lkdGg9Ijg0MCIgaGVpZ2h0PSI4NCIgY2xhc3M9Imdyb3VwLXJlY3QiIHJ4PSI0Ij48L3JlY3Q+CiAgICAgICAgPHRleHQgeD0iNTYiIHk9IjY0MCIgY2xhc3M9ImxlZ2VuZC10aXRsZSI+SG93IGxvY2FsIHNjYWxlcyBtYXAgaW48L3RleHQ+CiAgICAgICAgPHRleHQgeD0iNTYiIHk9IjY2MCIgY2xhc3M9ImxlZ2VuZC1sYWJlbCI+SGlnaCAvIE1lZGl1bSAvIExvdyBjb25maWRlbmNlIOKGkiBBIC8gQiAvIEM8L3RleHQ+CiAgICAgICAgPHRleHQgeD0iNTYiIHk9IjY3NiIgY2xhc3M9ImxlZ2VuZC1sYWJlbCI+JnF1b3Q7Q29uZGl0aW9uYWxseSBhY2NlcHRlZCZxdW90OyDihpIgQzwvdGV4dD4KICAgICAgICA8dGV4dCB4PSI1NiIgeT0iNjkyIiBjbGFzcz0ibGVnZW5kLWxhYmVsIj4mcXVvdDtEYXRhIGhlbGQsIHB1YmxpY2F0aW9uIHJlc3RyaWN0ZWQmcXVvdDsg4oaSIFg8L3RleHQ+CiAgICAgICAgPHRleHQgeD0iNDcwIiB5PSI2NjAiIGNsYXNzPSJsZWdlbmQtbGFiZWwiPlByb3Zpc2lvbmFsLCBpbmRpY2F0aXZlIG9yIGZhbGxiYWNrIOKGkiBQPC90ZXh0PgogICAgICAgIDx0ZXh0IHg9IjQ3MCIgeT0iNjc2IiBjbGFzcz0ibGVnZW5kLWxhYmVsIj5Nb2RlbGxlZCwgYmVuZWZpdC10cmFuc2ZlciBvciBUSy1kZXJpdmVkIOKGkiBFPC90ZXh0PgogICAgICA8L3N2Zz4="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2"/>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3.16.5</w:t>
            </w:r>
            <w:r>
              <w:rPr>
                <w:lang w:val="en"/>
              </w:rPr>
              <w:t xml:space="preserve"> </w:t>
            </w:r>
            <w:r>
              <w:rPr>
                <w:lang w:val="en"/>
              </w:rPr>
              <w:t xml:space="preserve">Each asset cell carries a grade from its evidence and a status from how it was obtained; availability codes replace the grade. Aggregates take the lowest input grade, and SDMX observation status stays in its own field.</w:t>
            </w:r>
            <w:r>
              <w:rPr>
                <w:lang w:val="en"/>
              </w:rPr>
              <w:t xml:space="preserve"> </w:t>
            </w:r>
            <w:r>
              <w:rPr>
                <w:lang w:val="en"/>
              </w:rPr>
              <w:t xml:space="preserve">Source:</w:t>
            </w:r>
            <w:r>
              <w:rPr>
                <w:lang w:val="en"/>
              </w:rPr>
              <w:t xml:space="preserve"> </w:t>
            </w:r>
            <w:r>
              <w:rPr>
                <w:lang w:val="en"/>
              </w:rPr>
              <w:t xml:space="preserve">TG-0.7 Section 3.6 (flag scheme and lowest-flag rule); TG-3.16 Section 3.7 (AQ-FL1 to AQ-FL3).</w:t>
            </w:r>
            <w:r>
              <w:rPr>
                <w:lang w:val="en"/>
              </w:rPr>
              <w:t xml:space="preserve"> </w:t>
            </w:r>
            <w:r>
              <w:rPr>
                <w:lang w:val="en"/>
              </w:rPr>
              <w:t xml:space="preserve">Note:</w:t>
            </w:r>
            <w:r>
              <w:rPr>
                <w:lang w:val="en"/>
              </w:rPr>
              <w:t xml:space="preserve"> </w:t>
            </w:r>
            <w:r>
              <w:rPr>
                <w:lang w:val="en"/>
              </w:rPr>
              <w:t xml:space="preserve">Grade thresholds are interim and proposed for consultation.</w:t>
            </w:r>
          </w:p>
        </w:tc>
      </w:tr>
    </w:tbl>
    <w:p>
      <w:pPr>
        <w:numPr>
          <w:ilvl w:val="0"/>
          <w:numId w:val="1009"/>
        </w:numPr>
        <w:pStyle w:val="Compact"/>
      </w:pPr>
      <w:r>
        <w:rPr>
          <w:lang w:val="en"/>
        </w:rPr>
        <w:t xml:space="preserve">¶2</w:t>
      </w:r>
      <w:r>
        <w:rPr>
          <w:lang w:val="en"/>
        </w:rPr>
        <w:t xml:space="preserve"> </w:t>
      </w:r>
      <w:r>
        <w:rPr>
          <w:bCs/>
          <w:b/>
          <w:lang w:val="en"/>
        </w:rPr>
        <w:t xml:space="preserve">AQ-FL1: two fields per cell.</w:t>
      </w:r>
      <w:r>
        <w:rPr>
          <w:lang w:val="en"/>
        </w:rPr>
        <w:t xml:space="preserve"> </w:t>
      </w:r>
      <w:r>
        <w:rPr>
          <w:lang w:val="en"/>
        </w:rPr>
        <w:t xml:space="preserve">A</w:t>
      </w:r>
      <w:r>
        <w:rPr>
          <w:lang w:val="en"/>
        </w:rPr>
        <w:t xml:space="preserve"> </w:t>
      </w:r>
      <w:r>
        <w:rPr>
          <w:bCs/>
          <w:b/>
          <w:lang w:val="en"/>
        </w:rPr>
        <w:t xml:space="preserve">grade</w:t>
      </w:r>
      <w:r>
        <w:rPr>
          <w:lang w:val="en"/>
        </w:rPr>
        <w:t xml:space="preserve"> </w:t>
      </w:r>
      <w:r>
        <w:rPr>
          <w:lang w:val="en"/>
        </w:rPr>
        <w:t xml:space="preserve">(A, B or C) and a</w:t>
      </w:r>
      <w:r>
        <w:rPr>
          <w:lang w:val="en"/>
        </w:rPr>
        <w:t xml:space="preserve"> </w:t>
      </w:r>
      <w:r>
        <w:rPr>
          <w:bCs/>
          <w:b/>
          <w:lang w:val="en"/>
        </w:rPr>
        <w:t xml:space="preserve">status</w:t>
      </w:r>
      <w:r>
        <w:rPr>
          <w:lang w:val="en"/>
        </w:rPr>
        <w:t xml:space="preserve"> </w:t>
      </w:r>
      <w:r>
        <w:rPr>
          <w:lang w:val="en"/>
        </w:rPr>
        <w:t xml:space="preserve">(P for provisional, E for estimated, or none). The availability codes X, n/a and ”..” replace the grade. An SDMX observation status, where reported, goes in a third field and is never printed as the grade (“A” means</w:t>
      </w:r>
      <w:r>
        <w:rPr>
          <w:lang w:val="en"/>
        </w:rPr>
        <w:t xml:space="preserve"> </w:t>
      </w:r>
      <w:r>
        <w:rPr>
          <w:iCs/>
          <w:i/>
          <w:lang w:val="en"/>
        </w:rPr>
        <w:t xml:space="preserve">normal</w:t>
      </w:r>
      <w:r>
        <w:rPr>
          <w:lang w:val="en"/>
        </w:rPr>
        <w:t xml:space="preserve"> </w:t>
      </w:r>
      <w:r>
        <w:rPr>
          <w:lang w:val="en"/>
        </w:rPr>
        <w:t xml:space="preserve">in SDMX). In the tables of Section 3.8 the flag follows the value in brackets, grade first:</w:t>
      </w:r>
      <w:r>
        <w:rPr>
          <w:lang w:val="en"/>
        </w:rPr>
        <w:t xml:space="preserve"> </w:t>
      </w:r>
      <w:r>
        <w:rPr>
          <w:rStyle w:val="VerbatimChar"/>
          <w:lang w:val="en"/>
        </w:rPr>
        <w:t xml:space="preserve">[A]</w:t>
      </w:r>
      <w:r>
        <w:rPr>
          <w:lang w:val="en"/>
        </w:rPr>
        <w:t xml:space="preserve">, or</w:t>
      </w:r>
      <w:r>
        <w:rPr>
          <w:lang w:val="en"/>
        </w:rPr>
        <w:t xml:space="preserve"> </w:t>
      </w:r>
      <w:r>
        <w:rPr>
          <w:rStyle w:val="VerbatimChar"/>
          <w:lang w:val="en"/>
        </w:rPr>
        <w:t xml:space="preserve">[C·E]</w:t>
      </w:r>
      <w:r>
        <w:rPr>
          <w:lang w:val="en"/>
        </w:rPr>
        <w:t xml:space="preserve"> </w:t>
      </w:r>
      <w:r>
        <w:rPr>
          <w:lang w:val="en"/>
        </w:rPr>
        <w:t xml:space="preserve">for a grade-C estimated value.</w:t>
      </w:r>
    </w:p>
    <w:p>
      <w:pPr>
        <w:numPr>
          <w:ilvl w:val="0"/>
          <w:numId w:val="1009"/>
        </w:numPr>
        <w:pStyle w:val="Compact"/>
      </w:pPr>
      <w:r>
        <w:rPr>
          <w:lang w:val="en"/>
        </w:rPr>
        <w:t xml:space="preserve">¶3</w:t>
      </w:r>
      <w:r>
        <w:rPr>
          <w:lang w:val="en"/>
        </w:rPr>
        <w:t xml:space="preserve"> </w:t>
      </w:r>
      <w:r>
        <w:rPr>
          <w:bCs/>
          <w:b/>
          <w:lang w:val="en"/>
        </w:rPr>
        <w:t xml:space="preserve">AQ-FL2: what a grade rests on.</w:t>
      </w:r>
      <w:r>
        <w:rPr>
          <w:lang w:val="en"/>
        </w:rPr>
        <w:t xml:space="preserve"> </w:t>
      </w:r>
      <w:r>
        <w:rPr>
          <w:lang w:val="en"/>
        </w:rPr>
        <w:t xml:space="preserve">The grade basis is proposed for consultation, as follows. Extent takes its grade from AQ-EX1 and the width of the area-adjusted confidence interval. A stock takes its grade from the stock assessment, and condition from the standard error of the index. Where no standard error can be computed, which is common where condition variables come from published studies and non-probability surveys, the condition grade rests on the evidence behind each input instead: A for a full-text primary source that reports n and a labelled dispersion type; B for a full-text source without them, or a statistic the compiler computed from non-probability survey records; C for a value read from an abstract, from grey literature or digitised from a figure. A regional or global proxy takes status E. The index takes the lowest grade of its inputs under AQ-FL3. A monetary cell takes the lower of its physical grade and its valuation grade, and never a higher one. The interim thresholds, adopted as a proposal only pending decision on the flag scheme, are a relative 95% half-width of at most 10% for A and at most 30% for B, with C above that.</w:t>
      </w:r>
    </w:p>
    <w:p>
      <w:pPr>
        <w:numPr>
          <w:ilvl w:val="0"/>
          <w:numId w:val="1009"/>
        </w:numPr>
        <w:pStyle w:val="Compact"/>
      </w:pPr>
      <w:r>
        <w:rPr>
          <w:lang w:val="en"/>
        </w:rPr>
        <w:t xml:space="preserve">¶4</w:t>
      </w:r>
      <w:r>
        <w:rPr>
          <w:lang w:val="en"/>
        </w:rPr>
        <w:t xml:space="preserve"> </w:t>
      </w:r>
      <w:r>
        <w:rPr>
          <w:bCs/>
          <w:b/>
          <w:lang w:val="en"/>
        </w:rPr>
        <w:t xml:space="preserve">AQ-FL3: propagation.</w:t>
      </w:r>
      <w:r>
        <w:rPr>
          <w:lang w:val="en"/>
        </w:rPr>
        <w:t xml:space="preserve"> </w:t>
      </w:r>
      <w:r>
        <w:rPr>
          <w:lang w:val="en"/>
        </w:rPr>
        <w:t xml:space="preserve">An aggregate takes the lowest grade of its inputs, and the status of any. A closing stock takes the lowest flag of its opening stock and its flows, and depletion takes the flag of the sustainable yield. The TG-0.7 exception, which lets an input under 5% of the aggregate be set aside, may be used only where it is documented; the worked example uses it twice and records both.</w:t>
      </w:r>
    </w:p>
    <w:p>
      <w:pPr>
        <w:numPr>
          <w:ilvl w:val="0"/>
          <w:numId w:val="1009"/>
        </w:numPr>
        <w:pStyle w:val="Compact"/>
      </w:pPr>
      <w:r>
        <w:rPr>
          <w:lang w:val="en"/>
        </w:rPr>
        <w:t xml:space="preserve">¶5</w:t>
      </w:r>
      <w:r>
        <w:rPr>
          <w:lang w:val="en"/>
        </w:rPr>
        <w:t xml:space="preserve"> </w:t>
      </w:r>
      <w:r>
        <w:rPr>
          <w:bCs/>
          <w:b/>
          <w:lang w:val="en"/>
        </w:rPr>
        <w:t xml:space="preserve">AQ-FL4: tier direction.</w:t>
      </w:r>
      <w:r>
        <w:rPr>
          <w:lang w:val="en"/>
        </w:rPr>
        <w:t xml:space="preserve"> </w:t>
      </w:r>
      <w:r>
        <w:rPr>
          <w:lang w:val="en"/>
        </w:rPr>
        <w:t xml:space="preserve">Any tier cited in the account or its metadata states its scheme and direction (TG-0.7 Section 3.8), because some circulars use Tier 1 for the best data.</w:t>
      </w:r>
    </w:p>
    <w:p>
      <w:pPr>
        <w:pStyle w:val="FirstParagraph"/>
      </w:pPr>
      <w:r>
        <w:rPr>
          <w:lang w:val="en"/>
        </w:rPr>
        <w:t xml:space="preserve">¶6</w:t>
      </w:r>
      <w:r>
        <w:rPr>
          <w:lang w:val="en"/>
        </w:rPr>
        <w:t xml:space="preserve"> </w:t>
      </w:r>
      <w:r>
        <w:rPr>
          <w:lang w:val="en"/>
        </w:rPr>
        <w:t xml:space="preserve">Local scales map onto the scheme. High, medium and low confidence become A, B and C. TG-4.1’s “conditionally accepted” becomes C. Provisional, indicative and fallback values take status P, and modelled, benefit-transfer and TK-derived values take status E. “Data held but publication restricted” becomes X.</w:t>
      </w:r>
    </w:p>
    <w:bookmarkStart w:id="107" w:name="X52491922cf0389bc8709115ad375d43ba941b42"/>
    <w:p>
      <w:pPr>
        <w:pStyle w:val="Heading3"/>
      </w:pPr>
      <w:r>
        <w:rPr>
          <w:lang w:val="en"/>
        </w:rPr>
        <w:t xml:space="preserve">3.8</w:t>
      </w:r>
      <w:r>
        <w:rPr>
          <w:lang w:val="en"/>
        </w:rPr>
        <w:t xml:space="preserve"> </w:t>
      </w:r>
      <w:r>
        <w:rPr>
          <w:lang w:val="en"/>
        </w:rPr>
        <w:t xml:space="preserve">Worked Example: A Coastal Asset Account with Seeded Errors</w:t>
      </w:r>
    </w:p>
    <w:p>
      <w:pPr>
        <w:pStyle w:val="FirstParagraph"/>
      </w:pPr>
      <w:hyperlink w:anchor="X52491922cf0389bc8709115ad375d43ba941b42">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Worked Example: A Coastal Asset Account with Seeded Errors”</w:t>
        </w:r>
      </w:hyperlink>
    </w:p>
    <w:bookmarkEnd w:id="107"/>
    <w:p>
      <w:pPr>
        <w:pStyle w:val="BodyText"/>
      </w:pPr>
      <w:r>
        <w:rPr>
          <w:lang w:val="en"/>
        </w:rPr>
        <w:t xml:space="preserve">¶1</w:t>
      </w:r>
      <w:r>
        <w:rPr>
          <w:lang w:val="en"/>
        </w:rPr>
        <w:t xml:space="preserve"> </w:t>
      </w:r>
      <w:r>
        <w:rPr>
          <w:lang w:val="en"/>
        </w:rPr>
        <w:t xml:space="preserve">This example is synthetic, and every number in it comes from one script run on one set of inputs. It is independent of the TG-3.1 worked example. An accounting area of 1,200 km² holds five ecosystem types, one demersal fish stock and a mangrove condition account; the period is one calendar year, and money is in USD thousand at current prices. The submitted accounts contain nine deliberate errors, E1 to E9, of kinds common in compiled accounts (Table 3.16.7).</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Error</w:t>
            </w:r>
          </w:p>
        </w:tc>
        <w:tc>
          <w:tcPr/>
          <w:p>
            <w:pPr>
              <w:pStyle w:val="Compact"/>
              <w:jc w:val="left"/>
            </w:pPr>
            <w:r>
              <w:rPr>
                <w:lang w:val="en"/>
              </w:rPr>
              <w:t xml:space="preserve">What the compiler did</w:t>
            </w:r>
          </w:p>
        </w:tc>
        <w:tc>
          <w:tcPr/>
          <w:p>
            <w:pPr>
              <w:pStyle w:val="Compact"/>
              <w:jc w:val="left"/>
            </w:pPr>
            <w:r>
              <w:rPr>
                <w:lang w:val="en"/>
              </w:rPr>
              <w:t xml:space="preserve">Table</w:t>
            </w:r>
          </w:p>
        </w:tc>
        <w:tc>
          <w:tcPr/>
          <w:p>
            <w:pPr>
              <w:pStyle w:val="Compact"/>
              <w:jc w:val="left"/>
            </w:pPr>
            <w:r>
              <w:rPr>
                <w:lang w:val="en"/>
              </w:rPr>
              <w:t xml:space="preserve">Caught by</w:t>
            </w:r>
          </w:p>
        </w:tc>
      </w:tr>
      <w:tr>
        <w:tc>
          <w:tcPr/>
          <w:p>
            <w:pPr>
              <w:pStyle w:val="Compact"/>
              <w:jc w:val="left"/>
            </w:pPr>
            <w:r>
              <w:rPr>
                <w:lang w:val="en"/>
              </w:rPr>
              <w:t xml:space="preserve">E1</w:t>
            </w:r>
          </w:p>
        </w:tc>
        <w:tc>
          <w:tcPr/>
          <w:p>
            <w:pPr>
              <w:pStyle w:val="Compact"/>
              <w:jc w:val="left"/>
            </w:pPr>
            <w:r>
              <w:rPr>
                <w:lang w:val="en"/>
              </w:rPr>
              <w:t xml:space="preserve">Booked 0.4 km² of mangrove converted to ponds as a reduction, with no destination</w:t>
            </w:r>
          </w:p>
        </w:tc>
        <w:tc>
          <w:tcPr/>
          <w:p>
            <w:pPr>
              <w:pStyle w:val="Compact"/>
              <w:jc w:val="left"/>
            </w:pPr>
            <w:r>
              <w:rPr>
                <w:lang w:val="en"/>
              </w:rPr>
              <w:t xml:space="preserve">WE-2</w:t>
            </w:r>
          </w:p>
        </w:tc>
        <w:tc>
          <w:tcPr/>
          <w:p>
            <w:pPr>
              <w:pStyle w:val="Compact"/>
              <w:jc w:val="left"/>
            </w:pPr>
            <w:r>
              <w:rPr>
                <w:lang w:val="en"/>
              </w:rPr>
              <w:t xml:space="preserve">AQ-ID3, AQ-ID4, AQ-ID5</w:t>
            </w:r>
          </w:p>
        </w:tc>
      </w:tr>
      <w:tr>
        <w:tc>
          <w:tcPr/>
          <w:p>
            <w:pPr>
              <w:pStyle w:val="Compact"/>
              <w:jc w:val="left"/>
            </w:pPr>
            <w:r>
              <w:rPr>
                <w:lang w:val="en"/>
              </w:rPr>
              <w:t xml:space="preserve">E2</w:t>
            </w:r>
          </w:p>
        </w:tc>
        <w:tc>
          <w:tcPr/>
          <w:p>
            <w:pPr>
              <w:pStyle w:val="Compact"/>
              <w:jc w:val="left"/>
            </w:pPr>
            <w:r>
              <w:rPr>
                <w:lang w:val="en"/>
              </w:rPr>
              <w:t xml:space="preserve">Booked seagrass loss of 0.9 km² and gain of 0.3 km² as one net conversion of 0.6 km²</w:t>
            </w:r>
          </w:p>
        </w:tc>
        <w:tc>
          <w:tcPr/>
          <w:p>
            <w:pPr>
              <w:pStyle w:val="Compact"/>
              <w:jc w:val="left"/>
            </w:pPr>
            <w:r>
              <w:rPr>
                <w:lang w:val="en"/>
              </w:rPr>
              <w:t xml:space="preserve">WE-2</w:t>
            </w:r>
          </w:p>
        </w:tc>
        <w:tc>
          <w:tcPr/>
          <w:p>
            <w:pPr>
              <w:pStyle w:val="Compact"/>
              <w:jc w:val="left"/>
            </w:pPr>
            <w:r>
              <w:rPr>
                <w:lang w:val="en"/>
              </w:rPr>
              <w:t xml:space="preserve">AQ-ID5</w:t>
            </w:r>
          </w:p>
        </w:tc>
      </w:tr>
      <w:tr>
        <w:tc>
          <w:tcPr/>
          <w:p>
            <w:pPr>
              <w:pStyle w:val="Compact"/>
              <w:jc w:val="left"/>
            </w:pPr>
            <w:r>
              <w:rPr>
                <w:lang w:val="en"/>
              </w:rPr>
              <w:t xml:space="preserve">E3</w:t>
            </w:r>
          </w:p>
        </w:tc>
        <w:tc>
          <w:tcPr/>
          <w:p>
            <w:pPr>
              <w:pStyle w:val="Compact"/>
              <w:jc w:val="left"/>
            </w:pPr>
            <w:r>
              <w:rPr>
                <w:lang w:val="en"/>
              </w:rPr>
              <w:t xml:space="preserve">Applied the mangrove condition index to the flow and again to the value</w:t>
            </w:r>
          </w:p>
        </w:tc>
        <w:tc>
          <w:tcPr/>
          <w:p>
            <w:pPr>
              <w:pStyle w:val="Compact"/>
              <w:jc w:val="left"/>
            </w:pPr>
            <w:r>
              <w:rPr>
                <w:lang w:val="en"/>
              </w:rPr>
              <w:t xml:space="preserve">WE-6a</w:t>
            </w:r>
          </w:p>
        </w:tc>
        <w:tc>
          <w:tcPr/>
          <w:p>
            <w:pPr>
              <w:pStyle w:val="Compact"/>
              <w:jc w:val="left"/>
            </w:pPr>
            <w:r>
              <w:rPr>
                <w:lang w:val="en"/>
              </w:rPr>
              <w:t xml:space="preserve">AQ-VA2, AQ-PM4</w:t>
            </w:r>
          </w:p>
        </w:tc>
      </w:tr>
      <w:tr>
        <w:tc>
          <w:tcPr/>
          <w:p>
            <w:pPr>
              <w:pStyle w:val="Compact"/>
              <w:jc w:val="left"/>
            </w:pPr>
            <w:r>
              <w:rPr>
                <w:lang w:val="en"/>
              </w:rPr>
              <w:t xml:space="preserve">E4</w:t>
            </w:r>
          </w:p>
        </w:tc>
        <w:tc>
          <w:tcPr/>
          <w:p>
            <w:pPr>
              <w:pStyle w:val="Compact"/>
              <w:jc w:val="left"/>
            </w:pPr>
            <w:r>
              <w:rPr>
                <w:lang w:val="en"/>
              </w:rPr>
              <w:t xml:space="preserve">Priced mangrove and seagrass carbon at a social cost of carbon</w:t>
            </w:r>
          </w:p>
        </w:tc>
        <w:tc>
          <w:tcPr/>
          <w:p>
            <w:pPr>
              <w:pStyle w:val="Compact"/>
              <w:jc w:val="left"/>
            </w:pPr>
            <w:r>
              <w:rPr>
                <w:lang w:val="en"/>
              </w:rPr>
              <w:t xml:space="preserve">WE-1, WE-6a</w:t>
            </w:r>
          </w:p>
        </w:tc>
        <w:tc>
          <w:tcPr/>
          <w:p>
            <w:pPr>
              <w:pStyle w:val="Compact"/>
              <w:jc w:val="left"/>
            </w:pPr>
            <w:r>
              <w:rPr>
                <w:lang w:val="en"/>
              </w:rPr>
              <w:t xml:space="preserve">AQ-VA6, AQ-VA3</w:t>
            </w:r>
          </w:p>
        </w:tc>
      </w:tr>
      <w:tr>
        <w:tc>
          <w:tcPr/>
          <w:p>
            <w:pPr>
              <w:pStyle w:val="Compact"/>
              <w:jc w:val="left"/>
            </w:pPr>
            <w:r>
              <w:rPr>
                <w:lang w:val="en"/>
              </w:rPr>
              <w:t xml:space="preserve">E5</w:t>
            </w:r>
          </w:p>
        </w:tc>
        <w:tc>
          <w:tcPr/>
          <w:p>
            <w:pPr>
              <w:pStyle w:val="Compact"/>
              <w:jc w:val="left"/>
            </w:pPr>
            <w:r>
              <w:rPr>
                <w:lang w:val="en"/>
              </w:rPr>
              <w:t xml:space="preserve">Entered the seagrass conversion ten times too large</w:t>
            </w:r>
          </w:p>
        </w:tc>
        <w:tc>
          <w:tcPr/>
          <w:p>
            <w:pPr>
              <w:pStyle w:val="Compact"/>
              <w:jc w:val="left"/>
            </w:pPr>
            <w:r>
              <w:rPr>
                <w:lang w:val="en"/>
              </w:rPr>
              <w:t xml:space="preserve">WE-6a</w:t>
            </w:r>
          </w:p>
        </w:tc>
        <w:tc>
          <w:tcPr/>
          <w:p>
            <w:pPr>
              <w:pStyle w:val="Compact"/>
              <w:jc w:val="left"/>
            </w:pPr>
            <w:r>
              <w:rPr>
                <w:lang w:val="en"/>
              </w:rPr>
              <w:t xml:space="preserve">AQ-UN1, AQ-EV2</w:t>
            </w:r>
          </w:p>
        </w:tc>
      </w:tr>
      <w:tr>
        <w:tc>
          <w:tcPr/>
          <w:p>
            <w:pPr>
              <w:pStyle w:val="Compact"/>
              <w:jc w:val="left"/>
            </w:pPr>
            <w:r>
              <w:rPr>
                <w:lang w:val="en"/>
              </w:rPr>
              <w:t xml:space="preserve">E6</w:t>
            </w:r>
          </w:p>
        </w:tc>
        <w:tc>
          <w:tcPr/>
          <w:p>
            <w:pPr>
              <w:pStyle w:val="Compact"/>
              <w:jc w:val="left"/>
            </w:pPr>
            <w:r>
              <w:rPr>
                <w:lang w:val="en"/>
              </w:rPr>
              <w:t xml:space="preserve">Added the stand-alone SEEA CF fish-stock value to the ecosystem total</w:t>
            </w:r>
          </w:p>
        </w:tc>
        <w:tc>
          <w:tcPr/>
          <w:p>
            <w:pPr>
              <w:pStyle w:val="Compact"/>
              <w:jc w:val="left"/>
            </w:pPr>
            <w:r>
              <w:rPr>
                <w:lang w:val="en"/>
              </w:rPr>
              <w:t xml:space="preserve">WE-6c</w:t>
            </w:r>
          </w:p>
        </w:tc>
        <w:tc>
          <w:tcPr/>
          <w:p>
            <w:pPr>
              <w:pStyle w:val="Compact"/>
              <w:jc w:val="left"/>
            </w:pPr>
            <w:r>
              <w:rPr>
                <w:lang w:val="en"/>
              </w:rPr>
              <w:t xml:space="preserve">AQ-ID6</w:t>
            </w:r>
          </w:p>
        </w:tc>
      </w:tr>
      <w:tr>
        <w:tc>
          <w:tcPr/>
          <w:p>
            <w:pPr>
              <w:pStyle w:val="Compact"/>
              <w:jc w:val="left"/>
            </w:pPr>
            <w:r>
              <w:rPr>
                <w:lang w:val="en"/>
              </w:rPr>
              <w:t xml:space="preserve">E7</w:t>
            </w:r>
          </w:p>
        </w:tc>
        <w:tc>
          <w:tcPr/>
          <w:p>
            <w:pPr>
              <w:pStyle w:val="Compact"/>
              <w:jc w:val="left"/>
            </w:pPr>
            <w:r>
              <w:rPr>
                <w:lang w:val="en"/>
              </w:rPr>
              <w:t xml:space="preserve">Valued the catastrophic fish loss inside the catch row and again on its own</w:t>
            </w:r>
          </w:p>
        </w:tc>
        <w:tc>
          <w:tcPr/>
          <w:p>
            <w:pPr>
              <w:pStyle w:val="Compact"/>
              <w:jc w:val="left"/>
            </w:pPr>
            <w:r>
              <w:rPr>
                <w:lang w:val="en"/>
              </w:rPr>
              <w:t xml:space="preserve">WE-6b</w:t>
            </w:r>
          </w:p>
        </w:tc>
        <w:tc>
          <w:tcPr/>
          <w:p>
            <w:pPr>
              <w:pStyle w:val="Compact"/>
              <w:jc w:val="left"/>
            </w:pPr>
            <w:r>
              <w:rPr>
                <w:lang w:val="en"/>
              </w:rPr>
              <w:t xml:space="preserve">AQ-PM1</w:t>
            </w:r>
          </w:p>
        </w:tc>
      </w:tr>
      <w:tr>
        <w:tc>
          <w:tcPr/>
          <w:p>
            <w:pPr>
              <w:pStyle w:val="Compact"/>
              <w:jc w:val="left"/>
            </w:pPr>
            <w:r>
              <w:rPr>
                <w:lang w:val="en"/>
              </w:rPr>
              <w:t xml:space="preserve">E8</w:t>
            </w:r>
          </w:p>
        </w:tc>
        <w:tc>
          <w:tcPr/>
          <w:p>
            <w:pPr>
              <w:pStyle w:val="Compact"/>
              <w:jc w:val="left"/>
            </w:pPr>
            <w:r>
              <w:rPr>
                <w:lang w:val="en"/>
              </w:rPr>
              <w:t xml:space="preserve">Computed stock status on total biomass instead of SSB</w:t>
            </w:r>
          </w:p>
        </w:tc>
        <w:tc>
          <w:tcPr/>
          <w:p>
            <w:pPr>
              <w:pStyle w:val="Compact"/>
              <w:jc w:val="left"/>
            </w:pPr>
            <w:r>
              <w:rPr>
                <w:lang w:val="en"/>
              </w:rPr>
              <w:t xml:space="preserve">WE-5</w:t>
            </w:r>
          </w:p>
        </w:tc>
        <w:tc>
          <w:tcPr/>
          <w:p>
            <w:pPr>
              <w:pStyle w:val="Compact"/>
              <w:jc w:val="left"/>
            </w:pPr>
            <w:r>
              <w:rPr>
                <w:lang w:val="en"/>
              </w:rPr>
              <w:t xml:space="preserve">AQ-FS1</w:t>
            </w:r>
          </w:p>
        </w:tc>
      </w:tr>
      <w:tr>
        <w:tc>
          <w:tcPr/>
          <w:p>
            <w:pPr>
              <w:pStyle w:val="Compact"/>
              <w:jc w:val="left"/>
            </w:pPr>
            <w:r>
              <w:rPr>
                <w:lang w:val="en"/>
              </w:rPr>
              <w:t xml:space="preserve">E9</w:t>
            </w:r>
          </w:p>
        </w:tc>
        <w:tc>
          <w:tcPr/>
          <w:p>
            <w:pPr>
              <w:pStyle w:val="Compact"/>
              <w:jc w:val="left"/>
            </w:pPr>
            <w:r>
              <w:rPr>
                <w:lang w:val="en"/>
              </w:rPr>
              <w:t xml:space="preserve">Quoted the conversion as a share of the mangrove type, not of the accounting area</w:t>
            </w:r>
          </w:p>
        </w:tc>
        <w:tc>
          <w:tcPr/>
          <w:p>
            <w:pPr>
              <w:pStyle w:val="Compact"/>
              <w:jc w:val="left"/>
            </w:pPr>
            <w:r>
              <w:rPr>
                <w:lang w:val="en"/>
              </w:rPr>
              <w:t xml:space="preserve">WE-6d</w:t>
            </w:r>
          </w:p>
        </w:tc>
        <w:tc>
          <w:tcPr/>
          <w:p>
            <w:pPr>
              <w:pStyle w:val="Compact"/>
              <w:jc w:val="left"/>
            </w:pPr>
            <w:r>
              <w:rPr>
                <w:lang w:val="en"/>
              </w:rPr>
              <w:t xml:space="preserve">AQ-UN4</w:t>
            </w:r>
          </w:p>
        </w:tc>
      </w:tr>
    </w:tbl>
    <w:p>
      <w:pPr>
        <w:pStyle w:val="BodyText"/>
      </w:pPr>
      <w:r>
        <w:rPr>
          <w:lang w:val="en"/>
        </w:rPr>
        <w:t xml:space="preserve">¶2</w:t>
      </w:r>
      <w:r>
        <w:rPr>
          <w:lang w:val="en"/>
        </w:rPr>
        <w:t xml:space="preserve"> </w:t>
      </w:r>
      <w:r>
        <w:rPr>
          <w:iCs/>
          <w:i/>
          <w:lang w:val="en"/>
        </w:rPr>
        <w:t xml:space="preserve">Table 3.16.7: Seeded errors and the checks that catch them.</w:t>
      </w:r>
    </w:p>
    <w:p>
      <w:pPr>
        <w:pStyle w:val="BodyText"/>
      </w:pPr>
      <w:r>
        <w:rPr>
          <w:lang w:val="en"/>
        </w:rPr>
        <w:t xml:space="preserve">¶3</w:t>
      </w:r>
      <w:r>
        <w:rPr>
          <w:lang w:val="en"/>
        </w:rPr>
        <w:t xml:space="preserve"> </w:t>
      </w:r>
      <w:r>
        <w:rPr>
          <w:lang w:val="en"/>
        </w:rPr>
        <w:t xml:space="preserve">Two things in Table 3.16.7 are worth noticing. First, AQ-ID1 catches none of the errors: every submitted column balances. Second, several errors trip more than one check. E4 is the clearest case: a welfare price for carbon breaks the exchange-value rule, and by inflating carbon’s share of the mangrove’s annual flow value it also takes the asset outside the conditions under which the linear degradation shortcut may be used.</w:t>
      </w:r>
    </w:p>
    <w:p>
      <w:pPr>
        <w:pStyle w:val="BodyText"/>
      </w:pPr>
      <w:r>
        <w:rPr>
          <w:lang w:val="en"/>
        </w:rPr>
        <w:t xml:space="preserve">¶4</w:t>
      </w:r>
      <w:r>
        <w:rPr>
          <w:lang w:val="en"/>
        </w:rPr>
        <w:t xml:space="preserve"> </w:t>
      </w:r>
      <w:r>
        <w:rPr>
          <w:lang w:val="en"/>
        </w:rPr>
        <w:t xml:space="preserve">Three tables are printed here: the submitted monetary ecosystem account, which holds three of the errors; the QC log; and the same account corrected and flagged.</w:t>
      </w:r>
      <w:r>
        <w:rPr>
          <w:lang w:val="en"/>
        </w:rPr>
        <w:t xml:space="preserve"> </w:t>
      </w:r>
      <w:hyperlink r:id="rId108">
        <w:r>
          <w:rPr>
            <w:rStyle w:val="Hyperlink"/>
            <w:bCs/>
            <w:b/>
            <w:lang w:val="en"/>
          </w:rPr>
          <w:t xml:space="preserve">All 22 tables of the example</w:t>
        </w:r>
      </w:hyperlink>
      <w:r>
        <w:rPr>
          <w:lang w:val="en"/>
        </w:rPr>
        <w:t xml:space="preserve"> </w:t>
      </w:r>
      <w:r>
        <w:rPr>
          <w:lang w:val="en"/>
        </w:rPr>
        <w:t xml:space="preserve">— the parameter register, the extent, change-matrix, condition and fish-stock accounts, every submitted and corrected table, the reconciliation and the uncertainty results — are in a companion page, with the QC log also as</w:t>
      </w:r>
      <w:r>
        <w:rPr>
          <w:lang w:val="en"/>
        </w:rPr>
        <w:t xml:space="preserve"> </w:t>
      </w:r>
      <w:hyperlink r:id="rId109">
        <w:r>
          <w:rPr>
            <w:rStyle w:val="Hyperlink"/>
            <w:lang w:val="en"/>
          </w:rPr>
          <w:t xml:space="preserve">CSV</w:t>
        </w:r>
      </w:hyperlink>
      <w:r>
        <w:rPr>
          <w:lang w:val="en"/>
        </w:rPr>
        <w:t xml:space="preserve">.</w:t>
      </w:r>
    </w:p>
    <w:p>
      <w:pPr>
        <w:pStyle w:val="BodyText"/>
      </w:pPr>
      <w:r>
        <w:rPr>
          <w:lang w:val="en"/>
        </w:rPr>
        <w:t xml:space="preserve">¶5</w:t>
      </w:r>
      <w:r>
        <w:rPr>
          <w:lang w:val="en"/>
        </w:rPr>
        <w:t xml:space="preserve"> </w:t>
      </w:r>
      <w:r>
        <w:drawing>
          <wp:inline>
            <wp:extent cx="152400" cy="152400"/>
            <wp:effectExtent b="0" l="0" r="0" t="0"/>
            <wp:docPr descr="" title="" id="110"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As submitted — contains deliberate errors</w:t>
      </w:r>
    </w:p>
    <w:p>
      <w:pPr>
        <w:pStyle w:val="BodyText"/>
      </w:pPr>
      <w:r>
        <w:rPr>
          <w:lang w:val="en"/>
        </w:rPr>
        <w:t xml:space="preserve">¶6</w:t>
      </w:r>
      <w:r>
        <w:rPr>
          <w:lang w:val="en"/>
        </w:rPr>
        <w:t xml:space="preserve"> </w:t>
      </w:r>
      <w:r>
        <w:rPr>
          <w:lang w:val="en"/>
        </w:rPr>
        <w:t xml:space="preserve">Table WE-6a is shown as a compiler submitted it. Do not copy it as a model.</w:t>
      </w:r>
    </w:p>
    <w:p>
      <w:pPr>
        <w:pStyle w:val="BodyText"/>
      </w:pPr>
      <w:r>
        <w:rPr>
          <w:lang w:val="en"/>
        </w:rPr>
        <w:t xml:space="preserve">¶7</w:t>
      </w:r>
      <w:r>
        <w:rPr>
          <w:lang w:val="en"/>
        </w:rPr>
        <w:t xml:space="preserve"> </w:t>
      </w:r>
      <w:r>
        <w:rPr>
          <w:bCs/>
          <w:b/>
          <w:lang w:val="en"/>
        </w:rPr>
        <w:t xml:space="preserve">Table WE-6a: Monetary ecosystem asset account, as submitted (USD thousand)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entry</w:t>
            </w:r>
          </w:p>
        </w:tc>
        <w:tc>
          <w:tcPr/>
          <w:p>
            <w:pPr>
              <w:pStyle w:val="Compact"/>
              <w:jc w:val="left"/>
            </w:pPr>
            <w:r>
              <w:rPr>
                <w:lang w:val="en"/>
              </w:rPr>
              <w:t xml:space="preserve">Mangrove</w:t>
            </w:r>
          </w:p>
        </w:tc>
        <w:tc>
          <w:tcPr/>
          <w:p>
            <w:pPr>
              <w:pStyle w:val="Compact"/>
              <w:jc w:val="left"/>
            </w:pPr>
            <w:r>
              <w:rPr>
                <w:lang w:val="en"/>
              </w:rPr>
              <w:t xml:space="preserve">Seagrass</w:t>
            </w:r>
          </w:p>
        </w:tc>
        <w:tc>
          <w:tcPr/>
          <w:p>
            <w:pPr>
              <w:pStyle w:val="Compact"/>
              <w:jc w:val="left"/>
            </w:pPr>
            <w:r>
              <w:rPr>
                <w:lang w:val="en"/>
              </w:rPr>
              <w:t xml:space="preserve">Aquaculture ponds</w:t>
            </w:r>
          </w:p>
        </w:tc>
        <w:tc>
          <w:tcPr/>
          <w:p>
            <w:pPr>
              <w:pStyle w:val="Compact"/>
              <w:jc w:val="left"/>
            </w:pPr>
            <w:r>
              <w:rPr>
                <w:lang w:val="en"/>
              </w:rPr>
              <w:t xml:space="preserve">Total</w:t>
            </w:r>
          </w:p>
        </w:tc>
      </w:tr>
      <w:tr>
        <w:tc>
          <w:tcPr/>
          <w:p>
            <w:pPr>
              <w:pStyle w:val="Compact"/>
              <w:jc w:val="left"/>
            </w:pPr>
            <w:r>
              <w:rPr>
                <w:bCs/>
                <w:b/>
                <w:lang w:val="en"/>
              </w:rPr>
              <w:t xml:space="preserve">Opening value</w:t>
            </w:r>
          </w:p>
        </w:tc>
        <w:tc>
          <w:tcPr/>
          <w:p>
            <w:pPr>
              <w:pStyle w:val="Compact"/>
              <w:jc w:val="left"/>
            </w:pPr>
            <w:r>
              <w:rPr>
                <w:bCs/>
                <w:b/>
                <w:lang w:val="en"/>
              </w:rPr>
              <w:t xml:space="preserve">132,859</w:t>
            </w:r>
          </w:p>
        </w:tc>
        <w:tc>
          <w:tcPr/>
          <w:p>
            <w:pPr>
              <w:pStyle w:val="Compact"/>
              <w:jc w:val="left"/>
            </w:pPr>
            <w:r>
              <w:rPr>
                <w:bCs/>
                <w:b/>
                <w:lang w:val="en"/>
              </w:rPr>
              <w:t xml:space="preserve">22,587</w:t>
            </w:r>
          </w:p>
        </w:tc>
        <w:tc>
          <w:tcPr/>
          <w:p>
            <w:pPr>
              <w:pStyle w:val="Compact"/>
              <w:jc w:val="left"/>
            </w:pPr>
            <w:r>
              <w:rPr>
                <w:bCs/>
                <w:b/>
                <w:lang w:val="en"/>
              </w:rPr>
              <w:t xml:space="preserve">0</w:t>
            </w:r>
          </w:p>
        </w:tc>
        <w:tc>
          <w:tcPr/>
          <w:p>
            <w:pPr>
              <w:pStyle w:val="Compact"/>
              <w:jc w:val="left"/>
            </w:pPr>
            <w:r>
              <w:rPr>
                <w:bCs/>
                <w:b/>
                <w:lang w:val="en"/>
              </w:rPr>
              <w:t xml:space="preserve">155,446</w:t>
            </w:r>
          </w:p>
        </w:tc>
      </w:tr>
      <w:tr>
        <w:tc>
          <w:tcPr/>
          <w:p>
            <w:pPr>
              <w:pStyle w:val="Compact"/>
              <w:jc w:val="left"/>
            </w:pPr>
            <w:r>
              <w:rPr>
                <w:lang w:val="en"/>
              </w:rPr>
              <w:t xml:space="preserve">Ecosystem enhancement</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Ecosystem degradation</w:t>
            </w:r>
          </w:p>
        </w:tc>
        <w:tc>
          <w:tcPr/>
          <w:p>
            <w:pPr>
              <w:pStyle w:val="Compact"/>
              <w:jc w:val="left"/>
            </w:pPr>
            <w:r>
              <w:rPr>
                <w:lang w:val="en"/>
              </w:rPr>
              <w:t xml:space="preserve">-5,066</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-5,066</w:t>
            </w:r>
          </w:p>
        </w:tc>
      </w:tr>
      <w:tr>
        <w:tc>
          <w:tcPr/>
          <w:p>
            <w:pPr>
              <w:pStyle w:val="Compact"/>
              <w:jc w:val="left"/>
            </w:pPr>
            <w:r>
              <w:rPr>
                <w:lang w:val="en"/>
              </w:rPr>
              <w:t xml:space="preserve">Ecosystem conversions (additions)</w:t>
            </w:r>
          </w:p>
        </w:tc>
        <w:tc>
          <w:tcPr/>
          <w:p>
            <w:pPr>
              <w:pStyle w:val="Compact"/>
              <w:jc w:val="left"/>
            </w:pPr>
            <w:r>
              <w:rPr>
                <w:lang w:val="en"/>
              </w:rPr>
              <w:t xml:space="preserve">0</w:t>
            </w:r>
          </w:p>
        </w:tc>
        <w:tc>
          <w:tcPr/>
          <w:p>
            <w:pPr>
              <w:pStyle w:val="Compact"/>
              <w:jc w:val="left"/>
            </w:pPr>
            <w:r>
              <w:rPr>
                <w:lang w:val="en"/>
              </w:rPr>
              <w:t xml:space="preserve">271</w:t>
            </w:r>
          </w:p>
        </w:tc>
        <w:tc>
          <w:tcPr/>
          <w:p>
            <w:pPr>
              <w:pStyle w:val="Compact"/>
              <w:jc w:val="left"/>
            </w:pPr>
            <w:r>
              <w:rPr>
                <w:lang w:val="en"/>
              </w:rPr>
              <w:t xml:space="preserve">0</w:t>
            </w:r>
          </w:p>
        </w:tc>
        <w:tc>
          <w:tcPr/>
          <w:p>
            <w:pPr>
              <w:pStyle w:val="Compact"/>
              <w:jc w:val="left"/>
            </w:pPr>
            <w:r>
              <w:rPr>
                <w:lang w:val="en"/>
              </w:rPr>
              <w:t xml:space="preserve">271</w:t>
            </w:r>
          </w:p>
        </w:tc>
      </w:tr>
      <w:tr>
        <w:tc>
          <w:tcPr/>
          <w:p>
            <w:pPr>
              <w:pStyle w:val="Compact"/>
              <w:jc w:val="left"/>
            </w:pPr>
            <w:r>
              <w:rPr>
                <w:lang w:val="en"/>
              </w:rPr>
              <w:t xml:space="preserve">Ecosystem conversions (reductions)</w:t>
            </w:r>
          </w:p>
        </w:tc>
        <w:tc>
          <w:tcPr/>
          <w:p>
            <w:pPr>
              <w:pStyle w:val="Compact"/>
              <w:jc w:val="left"/>
            </w:pPr>
            <w:r>
              <w:rPr>
                <w:lang w:val="en"/>
              </w:rPr>
              <w:t xml:space="preserve">-886</w:t>
            </w:r>
          </w:p>
        </w:tc>
        <w:tc>
          <w:tcPr/>
          <w:p>
            <w:pPr>
              <w:pStyle w:val="Compact"/>
              <w:jc w:val="left"/>
            </w:pPr>
            <w:r>
              <w:rPr>
                <w:lang w:val="en"/>
              </w:rPr>
              <w:t xml:space="preserve">-8,131</w:t>
            </w:r>
          </w:p>
        </w:tc>
        <w:tc>
          <w:tcPr/>
          <w:p>
            <w:pPr>
              <w:pStyle w:val="Compact"/>
              <w:jc w:val="left"/>
            </w:pPr>
            <w:r>
              <w:rPr>
                <w:lang w:val="en"/>
              </w:rPr>
              <w:t xml:space="preserve">0</w:t>
            </w:r>
          </w:p>
        </w:tc>
        <w:tc>
          <w:tcPr/>
          <w:p>
            <w:pPr>
              <w:pStyle w:val="Compact"/>
              <w:jc w:val="left"/>
            </w:pPr>
            <w:r>
              <w:rPr>
                <w:lang w:val="en"/>
              </w:rPr>
              <w:t xml:space="preserve">-9,017</w:t>
            </w:r>
          </w:p>
        </w:tc>
      </w:tr>
      <w:tr>
        <w:tc>
          <w:tcPr/>
          <w:p>
            <w:pPr>
              <w:pStyle w:val="Compact"/>
              <w:jc w:val="left"/>
            </w:pPr>
            <w:r>
              <w:rPr>
                <w:lang w:val="en"/>
              </w:rPr>
              <w:t xml:space="preserve">Catastrophic losses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Reappraisals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Revaluation</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bCs/>
                <w:b/>
                <w:lang w:val="en"/>
              </w:rPr>
              <w:t xml:space="preserve">Closing value</w:t>
            </w:r>
          </w:p>
        </w:tc>
        <w:tc>
          <w:tcPr/>
          <w:p>
            <w:pPr>
              <w:pStyle w:val="Compact"/>
              <w:jc w:val="left"/>
            </w:pPr>
            <w:r>
              <w:rPr>
                <w:bCs/>
                <w:b/>
                <w:lang w:val="en"/>
              </w:rPr>
              <w:t xml:space="preserve">126,907</w:t>
            </w:r>
          </w:p>
        </w:tc>
        <w:tc>
          <w:tcPr/>
          <w:p>
            <w:pPr>
              <w:pStyle w:val="Compact"/>
              <w:jc w:val="left"/>
            </w:pPr>
            <w:r>
              <w:rPr>
                <w:bCs/>
                <w:b/>
                <w:lang w:val="en"/>
              </w:rPr>
              <w:t xml:space="preserve">14,727</w:t>
            </w:r>
          </w:p>
        </w:tc>
        <w:tc>
          <w:tcPr/>
          <w:p>
            <w:pPr>
              <w:pStyle w:val="Compact"/>
              <w:jc w:val="left"/>
            </w:pPr>
            <w:r>
              <w:rPr>
                <w:bCs/>
                <w:b/>
                <w:lang w:val="en"/>
              </w:rPr>
              <w:t xml:space="preserve">0</w:t>
            </w:r>
          </w:p>
        </w:tc>
        <w:tc>
          <w:tcPr/>
          <w:p>
            <w:pPr>
              <w:pStyle w:val="Compact"/>
              <w:jc w:val="left"/>
            </w:pPr>
            <w:r>
              <w:rPr>
                <w:bCs/>
                <w:b/>
                <w:lang w:val="en"/>
              </w:rPr>
              <w:t xml:space="preserve">141,634</w:t>
            </w:r>
          </w:p>
        </w:tc>
      </w:tr>
    </w:tbl>
    <w:p>
      <w:pPr>
        <w:pStyle w:val="BodyText"/>
      </w:pPr>
      <w:r>
        <w:rPr>
          <w:lang w:val="en"/>
        </w:rPr>
        <w:t xml:space="preserve">¶8</w:t>
      </w:r>
      <w:r>
        <w:rPr>
          <w:lang w:val="en"/>
        </w:rPr>
        <w:t xml:space="preserve"> </w:t>
      </w:r>
      <w:r>
        <w:rPr>
          <w:iCs/>
          <w:i/>
          <w:lang w:val="en"/>
        </w:rPr>
        <w:t xml:space="preserve">Subtidal sediment and Shelf waters: not valued (”..”), so not shown. Aquaculture ponds: a confirmed zero, not a gap.</w:t>
      </w:r>
    </w:p>
    <w:p>
      <w:pPr>
        <w:pStyle w:val="BodyText"/>
      </w:pPr>
      <w:r>
        <w:rPr>
          <w:lang w:val="en"/>
        </w:rPr>
        <w:t xml:space="preserve">¶9</w:t>
      </w:r>
      <w:r>
        <w:rPr>
          <w:lang w:val="en"/>
        </w:rPr>
        <w:t xml:space="preserve"> </w:t>
      </w:r>
      <w:r>
        <w:rPr>
          <w:iCs/>
          <w:i/>
          <w:lang w:val="en"/>
        </w:rPr>
        <w:t xml:space="preserve">Table WE-6a: Monetary ecosystem asset account as submitted, containing errors E3, E4 and E5. Structure after TG-3.1 Table 4.</w:t>
      </w:r>
    </w:p>
    <w:p>
      <w:pPr>
        <w:pStyle w:val="BodyText"/>
      </w:pPr>
      <w:r>
        <w:rPr>
          <w:lang w:val="en"/>
        </w:rPr>
        <w:t xml:space="preserve">¶10</w:t>
      </w:r>
      <w:r>
        <w:rPr>
          <w:lang w:val="en"/>
        </w:rPr>
        <w:t xml:space="preserve"> </w:t>
      </w:r>
      <w:r>
        <w:rPr>
          <w:lang w:val="en"/>
        </w:rPr>
        <w:t xml:space="preserve">The QC log is the record the reviewer reads (Table WE-7). One line is written per finding, naming the check, the cell and what was found; the fix is recorded against the same line.</w:t>
      </w:r>
    </w:p>
    <w:p>
      <w:pPr>
        <w:pStyle w:val="BodyText"/>
      </w:pPr>
      <w:r>
        <w:rPr>
          <w:lang w:val="en"/>
        </w:rPr>
        <w:t xml:space="preserve">¶11</w:t>
      </w:r>
      <w:r>
        <w:rPr>
          <w:lang w:val="en"/>
        </w:rPr>
        <w:t xml:space="preserve"> </w:t>
      </w:r>
      <w:r>
        <w:rPr>
          <w:bCs/>
          <w:b/>
          <w:lang w:val="en"/>
        </w:rPr>
        <w:t xml:space="preserve">Table WE-7: QC log for the submitted set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Check</w:t>
            </w:r>
          </w:p>
        </w:tc>
        <w:tc>
          <w:tcPr/>
          <w:p>
            <w:pPr>
              <w:pStyle w:val="Compact"/>
              <w:jc w:val="left"/>
            </w:pPr>
            <w:r>
              <w:rPr>
                <w:lang w:val="en"/>
              </w:rPr>
              <w:t xml:space="preserve">Cell</w:t>
            </w:r>
          </w:p>
        </w:tc>
        <w:tc>
          <w:tcPr/>
          <w:p>
            <w:pPr>
              <w:pStyle w:val="Compact"/>
              <w:jc w:val="left"/>
            </w:pPr>
            <w:r>
              <w:rPr>
                <w:lang w:val="en"/>
              </w:rPr>
              <w:t xml:space="preserve">Finding</w:t>
            </w:r>
          </w:p>
        </w:tc>
      </w:tr>
      <w:tr>
        <w:tc>
          <w:tcPr/>
          <w:p>
            <w:pPr>
              <w:pStyle w:val="Compact"/>
              <w:jc w:val="left"/>
            </w:pPr>
            <w:r>
              <w:rPr>
                <w:lang w:val="en"/>
              </w:rPr>
              <w:t xml:space="preserve">AQ-ID3</w:t>
            </w:r>
          </w:p>
        </w:tc>
        <w:tc>
          <w:tcPr/>
          <w:p>
            <w:pPr>
              <w:pStyle w:val="Compact"/>
              <w:jc w:val="left"/>
            </w:pPr>
            <w:r>
              <w:rPr>
                <w:lang w:val="en"/>
              </w:rPr>
              <w:t xml:space="preserve">WE-2 total closing</w:t>
            </w:r>
          </w:p>
        </w:tc>
        <w:tc>
          <w:tcPr/>
          <w:p>
            <w:pPr>
              <w:pStyle w:val="Compact"/>
              <w:jc w:val="left"/>
            </w:pPr>
            <w:r>
              <w:rPr>
                <w:lang w:val="en"/>
              </w:rPr>
              <w:t xml:space="preserve">Closing total 1,199.6 km² against an EAA of 1,200.0 km²</w:t>
            </w:r>
          </w:p>
        </w:tc>
      </w:tr>
      <w:tr>
        <w:tc>
          <w:tcPr/>
          <w:p>
            <w:pPr>
              <w:pStyle w:val="Compact"/>
              <w:jc w:val="left"/>
            </w:pPr>
            <w:r>
              <w:rPr>
                <w:lang w:val="en"/>
              </w:rPr>
              <w:t xml:space="preserve">AQ-ID4</w:t>
            </w:r>
          </w:p>
        </w:tc>
        <w:tc>
          <w:tcPr/>
          <w:p>
            <w:pPr>
              <w:pStyle w:val="Compact"/>
              <w:jc w:val="left"/>
            </w:pPr>
            <w:r>
              <w:rPr>
                <w:lang w:val="en"/>
              </w:rPr>
              <w:t xml:space="preserve">WE-2 mangrove reductions</w:t>
            </w:r>
          </w:p>
        </w:tc>
        <w:tc>
          <w:tcPr/>
          <w:p>
            <w:pPr>
              <w:pStyle w:val="Compact"/>
              <w:jc w:val="left"/>
            </w:pPr>
            <w:r>
              <w:rPr>
                <w:lang w:val="en"/>
              </w:rPr>
              <w:t xml:space="preserve">0.4 km² leaves mangrove with no destination type and no change to the EAA boundary</w:t>
            </w:r>
          </w:p>
        </w:tc>
      </w:tr>
      <w:tr>
        <w:tc>
          <w:tcPr/>
          <w:p>
            <w:pPr>
              <w:pStyle w:val="Compact"/>
              <w:jc w:val="left"/>
            </w:pPr>
            <w:r>
              <w:rPr>
                <w:lang w:val="en"/>
              </w:rPr>
              <w:t xml:space="preserve">AQ-ID5</w:t>
            </w:r>
          </w:p>
        </w:tc>
        <w:tc>
          <w:tcPr/>
          <w:p>
            <w:pPr>
              <w:pStyle w:val="Compact"/>
              <w:jc w:val="left"/>
            </w:pPr>
            <w:r>
              <w:rPr>
                <w:lang w:val="en"/>
              </w:rPr>
              <w:t xml:space="preserve">WE-2 mangrove conversions to</w:t>
            </w:r>
          </w:p>
        </w:tc>
        <w:tc>
          <w:tcPr/>
          <w:p>
            <w:pPr>
              <w:pStyle w:val="Compact"/>
              <w:jc w:val="left"/>
            </w:pPr>
            <w:r>
              <w:rPr>
                <w:lang w:val="en"/>
              </w:rPr>
              <w:t xml:space="preserve">Account records 0.0 km²; matrix off-diagonals give 0.4 km²</w:t>
            </w:r>
          </w:p>
        </w:tc>
      </w:tr>
      <w:tr>
        <w:tc>
          <w:tcPr/>
          <w:p>
            <w:pPr>
              <w:pStyle w:val="Compact"/>
              <w:jc w:val="left"/>
            </w:pPr>
            <w:r>
              <w:rPr>
                <w:lang w:val="en"/>
              </w:rPr>
              <w:t xml:space="preserve">AQ-ID5</w:t>
            </w:r>
          </w:p>
        </w:tc>
        <w:tc>
          <w:tcPr/>
          <w:p>
            <w:pPr>
              <w:pStyle w:val="Compact"/>
              <w:jc w:val="left"/>
            </w:pPr>
            <w:r>
              <w:rPr>
                <w:lang w:val="en"/>
              </w:rPr>
              <w:t xml:space="preserve">WE-2 seagrass conversions to</w:t>
            </w:r>
          </w:p>
        </w:tc>
        <w:tc>
          <w:tcPr/>
          <w:p>
            <w:pPr>
              <w:pStyle w:val="Compact"/>
              <w:jc w:val="left"/>
            </w:pPr>
            <w:r>
              <w:rPr>
                <w:lang w:val="en"/>
              </w:rPr>
              <w:t xml:space="preserve">Account records 0.6 km²; matrix off-diagonals give 0.9 km²</w:t>
            </w:r>
          </w:p>
        </w:tc>
      </w:tr>
      <w:tr>
        <w:tc>
          <w:tcPr/>
          <w:p>
            <w:pPr>
              <w:pStyle w:val="Compact"/>
              <w:jc w:val="left"/>
            </w:pPr>
            <w:r>
              <w:rPr>
                <w:lang w:val="en"/>
              </w:rPr>
              <w:t xml:space="preserve">AQ-ID5</w:t>
            </w:r>
          </w:p>
        </w:tc>
        <w:tc>
          <w:tcPr/>
          <w:p>
            <w:pPr>
              <w:pStyle w:val="Compact"/>
              <w:jc w:val="left"/>
            </w:pPr>
            <w:r>
              <w:rPr>
                <w:lang w:val="en"/>
              </w:rPr>
              <w:t xml:space="preserve">WE-2 seagrass conversions from</w:t>
            </w:r>
          </w:p>
        </w:tc>
        <w:tc>
          <w:tcPr/>
          <w:p>
            <w:pPr>
              <w:pStyle w:val="Compact"/>
              <w:jc w:val="left"/>
            </w:pPr>
            <w:r>
              <w:rPr>
                <w:lang w:val="en"/>
              </w:rPr>
              <w:t xml:space="preserve">Account records 0.0 km²; matrix off-diagonals give 0.3 km²</w:t>
            </w:r>
          </w:p>
        </w:tc>
      </w:tr>
      <w:tr>
        <w:tc>
          <w:tcPr/>
          <w:p>
            <w:pPr>
              <w:pStyle w:val="Compact"/>
              <w:jc w:val="left"/>
            </w:pPr>
            <w:r>
              <w:rPr>
                <w:lang w:val="en"/>
              </w:rPr>
              <w:t xml:space="preserve">AQ-ID5</w:t>
            </w:r>
          </w:p>
        </w:tc>
        <w:tc>
          <w:tcPr/>
          <w:p>
            <w:pPr>
              <w:pStyle w:val="Compact"/>
              <w:jc w:val="left"/>
            </w:pPr>
            <w:r>
              <w:rPr>
                <w:lang w:val="en"/>
              </w:rPr>
              <w:t xml:space="preserve">WE-3 ponds column</w:t>
            </w:r>
          </w:p>
        </w:tc>
        <w:tc>
          <w:tcPr/>
          <w:p>
            <w:pPr>
              <w:pStyle w:val="Compact"/>
              <w:jc w:val="left"/>
            </w:pPr>
            <w:r>
              <w:rPr>
                <w:lang w:val="en"/>
              </w:rPr>
              <w:t xml:space="preserve">Column margin 15.4 km² against closing extent 15.0 km²</w:t>
            </w:r>
          </w:p>
        </w:tc>
      </w:tr>
      <w:tr>
        <w:tc>
          <w:tcPr/>
          <w:p>
            <w:pPr>
              <w:pStyle w:val="Compact"/>
              <w:jc w:val="left"/>
            </w:pPr>
            <w:r>
              <w:rPr>
                <w:lang w:val="en"/>
              </w:rPr>
              <w:t xml:space="preserve">AQ-ID5</w:t>
            </w:r>
          </w:p>
        </w:tc>
        <w:tc>
          <w:tcPr/>
          <w:p>
            <w:pPr>
              <w:pStyle w:val="Compact"/>
              <w:jc w:val="left"/>
            </w:pPr>
            <w:r>
              <w:rPr>
                <w:lang w:val="en"/>
              </w:rPr>
              <w:t xml:space="preserve">WE-2 ponds conversions from</w:t>
            </w:r>
          </w:p>
        </w:tc>
        <w:tc>
          <w:tcPr/>
          <w:p>
            <w:pPr>
              <w:pStyle w:val="Compact"/>
              <w:jc w:val="left"/>
            </w:pPr>
            <w:r>
              <w:rPr>
                <w:lang w:val="en"/>
              </w:rPr>
              <w:t xml:space="preserve">Account records 0.0 km²; matrix off-diagonals give 0.4 km²</w:t>
            </w:r>
          </w:p>
        </w:tc>
      </w:tr>
      <w:tr>
        <w:tc>
          <w:tcPr/>
          <w:p>
            <w:pPr>
              <w:pStyle w:val="Compact"/>
              <w:jc w:val="left"/>
            </w:pPr>
            <w:r>
              <w:rPr>
                <w:lang w:val="en"/>
              </w:rPr>
              <w:t xml:space="preserve">AQ-ID5</w:t>
            </w:r>
          </w:p>
        </w:tc>
        <w:tc>
          <w:tcPr/>
          <w:p>
            <w:pPr>
              <w:pStyle w:val="Compact"/>
              <w:jc w:val="left"/>
            </w:pPr>
            <w:r>
              <w:rPr>
                <w:lang w:val="en"/>
              </w:rPr>
              <w:t xml:space="preserve">WE-2 sediment conversions to</w:t>
            </w:r>
          </w:p>
        </w:tc>
        <w:tc>
          <w:tcPr/>
          <w:p>
            <w:pPr>
              <w:pStyle w:val="Compact"/>
              <w:jc w:val="left"/>
            </w:pPr>
            <w:r>
              <w:rPr>
                <w:lang w:val="en"/>
              </w:rPr>
              <w:t xml:space="preserve">Account records 0.0 km²; matrix off-diagonals give 0.3 km²</w:t>
            </w:r>
          </w:p>
        </w:tc>
      </w:tr>
      <w:tr>
        <w:tc>
          <w:tcPr/>
          <w:p>
            <w:pPr>
              <w:pStyle w:val="Compact"/>
              <w:jc w:val="left"/>
            </w:pPr>
            <w:r>
              <w:rPr>
                <w:lang w:val="en"/>
              </w:rPr>
              <w:t xml:space="preserve">AQ-ID5</w:t>
            </w:r>
          </w:p>
        </w:tc>
        <w:tc>
          <w:tcPr/>
          <w:p>
            <w:pPr>
              <w:pStyle w:val="Compact"/>
              <w:jc w:val="left"/>
            </w:pPr>
            <w:r>
              <w:rPr>
                <w:lang w:val="en"/>
              </w:rPr>
              <w:t xml:space="preserve">WE-2 sediment conversions from</w:t>
            </w:r>
          </w:p>
        </w:tc>
        <w:tc>
          <w:tcPr/>
          <w:p>
            <w:pPr>
              <w:pStyle w:val="Compact"/>
              <w:jc w:val="left"/>
            </w:pPr>
            <w:r>
              <w:rPr>
                <w:lang w:val="en"/>
              </w:rPr>
              <w:t xml:space="preserve">Account records 0.6 km²; matrix off-diagonals give 0.9 km²</w:t>
            </w:r>
          </w:p>
        </w:tc>
      </w:tr>
      <w:tr>
        <w:tc>
          <w:tcPr/>
          <w:p>
            <w:pPr>
              <w:pStyle w:val="Compact"/>
              <w:jc w:val="left"/>
            </w:pPr>
            <w:r>
              <w:rPr>
                <w:lang w:val="en"/>
              </w:rPr>
              <w:t xml:space="preserve">AQ-ID6</w:t>
            </w:r>
          </w:p>
        </w:tc>
        <w:tc>
          <w:tcPr/>
          <w:p>
            <w:pPr>
              <w:pStyle w:val="Compact"/>
              <w:jc w:val="left"/>
            </w:pPr>
            <w:r>
              <w:rPr>
                <w:lang w:val="en"/>
              </w:rPr>
              <w:t xml:space="preserve">WE-6c total opening</w:t>
            </w:r>
          </w:p>
        </w:tc>
        <w:tc>
          <w:tcPr/>
          <w:p>
            <w:pPr>
              <w:pStyle w:val="Compact"/>
              <w:jc w:val="left"/>
            </w:pPr>
            <w:r>
              <w:rPr>
                <w:lang w:val="en"/>
              </w:rPr>
              <w:t xml:space="preserve">Total exceeds the ecosystem types by 49,023, the stand-alone SEEA CF fish-stock value</w:t>
            </w:r>
          </w:p>
        </w:tc>
      </w:tr>
      <w:tr>
        <w:tc>
          <w:tcPr/>
          <w:p>
            <w:pPr>
              <w:pStyle w:val="Compact"/>
              <w:jc w:val="left"/>
            </w:pPr>
            <w:r>
              <w:rPr>
                <w:lang w:val="en"/>
              </w:rPr>
              <w:t xml:space="preserve">AQ-ID6</w:t>
            </w:r>
          </w:p>
        </w:tc>
        <w:tc>
          <w:tcPr/>
          <w:p>
            <w:pPr>
              <w:pStyle w:val="Compact"/>
              <w:jc w:val="left"/>
            </w:pPr>
            <w:r>
              <w:rPr>
                <w:lang w:val="en"/>
              </w:rPr>
              <w:t xml:space="preserve">WE-6c total closing</w:t>
            </w:r>
          </w:p>
        </w:tc>
        <w:tc>
          <w:tcPr/>
          <w:p>
            <w:pPr>
              <w:pStyle w:val="Compact"/>
              <w:jc w:val="left"/>
            </w:pPr>
            <w:r>
              <w:rPr>
                <w:lang w:val="en"/>
              </w:rPr>
              <w:t xml:space="preserve">Total exceeds the ecosystem types by 50,839, the stand-alone SEEA CF fish-stock value</w:t>
            </w:r>
          </w:p>
        </w:tc>
      </w:tr>
      <w:tr>
        <w:tc>
          <w:tcPr/>
          <w:p>
            <w:pPr>
              <w:pStyle w:val="Compact"/>
              <w:jc w:val="left"/>
            </w:pPr>
            <w:r>
              <w:rPr>
                <w:lang w:val="en"/>
              </w:rPr>
              <w:t xml:space="preserve">AQ-UN1</w:t>
            </w:r>
          </w:p>
        </w:tc>
        <w:tc>
          <w:tcPr/>
          <w:p>
            <w:pPr>
              <w:pStyle w:val="Compact"/>
              <w:jc w:val="left"/>
            </w:pPr>
            <w:r>
              <w:rPr>
                <w:lang w:val="en"/>
              </w:rPr>
              <w:t xml:space="preserve">WE-6a seagrass conversions (reductions)</w:t>
            </w:r>
          </w:p>
        </w:tc>
        <w:tc>
          <w:tcPr/>
          <w:p>
            <w:pPr>
              <w:pStyle w:val="Compact"/>
              <w:jc w:val="left"/>
            </w:pPr>
            <w:r>
              <w:rPr>
                <w:lang w:val="en"/>
              </w:rPr>
              <w:t xml:space="preserve">Implied 9,035 per km² against an opening unit value of 903 per km²: about 10 times</w:t>
            </w:r>
          </w:p>
        </w:tc>
      </w:tr>
      <w:tr>
        <w:tc>
          <w:tcPr/>
          <w:p>
            <w:pPr>
              <w:pStyle w:val="Compact"/>
              <w:jc w:val="left"/>
            </w:pPr>
            <w:r>
              <w:rPr>
                <w:lang w:val="en"/>
              </w:rPr>
              <w:t xml:space="preserve">AQ-UN4</w:t>
            </w:r>
          </w:p>
        </w:tc>
        <w:tc>
          <w:tcPr/>
          <w:p>
            <w:pPr>
              <w:pStyle w:val="Compact"/>
              <w:jc w:val="left"/>
            </w:pPr>
            <w:r>
              <w:rPr>
                <w:lang w:val="en"/>
              </w:rPr>
              <w:t xml:space="preserve">text N1</w:t>
            </w:r>
          </w:p>
        </w:tc>
        <w:tc>
          <w:tcPr/>
          <w:p>
            <w:pPr>
              <w:pStyle w:val="Compact"/>
              <w:jc w:val="left"/>
            </w:pPr>
            <w:r>
              <w:rPr>
                <w:lang w:val="en"/>
              </w:rPr>
              <w:t xml:space="preserve">Text says 0.667; recomputed 0.033</w:t>
            </w:r>
          </w:p>
        </w:tc>
      </w:tr>
      <w:tr>
        <w:tc>
          <w:tcPr/>
          <w:p>
            <w:pPr>
              <w:pStyle w:val="Compact"/>
              <w:jc w:val="left"/>
            </w:pPr>
            <w:r>
              <w:rPr>
                <w:lang w:val="en"/>
              </w:rPr>
              <w:t xml:space="preserve">AQ-PM1</w:t>
            </w:r>
          </w:p>
        </w:tc>
        <w:tc>
          <w:tcPr/>
          <w:p>
            <w:pPr>
              <w:pStyle w:val="Compact"/>
              <w:jc w:val="left"/>
            </w:pPr>
            <w:r>
              <w:rPr>
                <w:lang w:val="en"/>
              </w:rPr>
              <w:t xml:space="preserve">WE-6b catch</w:t>
            </w:r>
          </w:p>
        </w:tc>
        <w:tc>
          <w:tcPr/>
          <w:p>
            <w:pPr>
              <w:pStyle w:val="Compact"/>
              <w:jc w:val="left"/>
            </w:pPr>
            <w:r>
              <w:rPr>
                <w:lang w:val="en"/>
              </w:rPr>
              <w:t xml:space="preserve">Entry values 7,500 t; the physical account records 7,000 t</w:t>
            </w:r>
          </w:p>
        </w:tc>
      </w:tr>
      <w:tr>
        <w:tc>
          <w:tcPr/>
          <w:p>
            <w:pPr>
              <w:pStyle w:val="Compact"/>
              <w:jc w:val="left"/>
            </w:pPr>
            <w:r>
              <w:rPr>
                <w:lang w:val="en"/>
              </w:rPr>
              <w:t xml:space="preserve">AQ-PM4</w:t>
            </w:r>
          </w:p>
        </w:tc>
        <w:tc>
          <w:tcPr/>
          <w:p>
            <w:pPr>
              <w:pStyle w:val="Compact"/>
              <w:jc w:val="left"/>
            </w:pPr>
            <w:r>
              <w:rPr>
                <w:lang w:val="en"/>
              </w:rPr>
              <w:t xml:space="preserve">WE-6a mangrove degradation</w:t>
            </w:r>
          </w:p>
        </w:tc>
        <w:tc>
          <w:tcPr/>
          <w:p>
            <w:pPr>
              <w:pStyle w:val="Compact"/>
              <w:jc w:val="left"/>
            </w:pPr>
            <w:r>
              <w:rPr>
                <w:lang w:val="en"/>
              </w:rPr>
              <w:t xml:space="preserve">Entry -5,066; index decline × PV of affected services gives -3,579</w:t>
            </w:r>
          </w:p>
        </w:tc>
      </w:tr>
      <w:tr>
        <w:tc>
          <w:tcPr/>
          <w:p>
            <w:pPr>
              <w:pStyle w:val="Compact"/>
              <w:jc w:val="left"/>
            </w:pPr>
            <w:r>
              <w:rPr>
                <w:lang w:val="en"/>
              </w:rPr>
              <w:t xml:space="preserve">AQ-VA2</w:t>
            </w:r>
          </w:p>
        </w:tc>
        <w:tc>
          <w:tcPr/>
          <w:p>
            <w:pPr>
              <w:pStyle w:val="Compact"/>
              <w:jc w:val="left"/>
            </w:pPr>
            <w:r>
              <w:rPr>
                <w:lang w:val="en"/>
              </w:rPr>
              <w:t xml:space="preserve">WE-6a mangrove opening</w:t>
            </w:r>
          </w:p>
        </w:tc>
        <w:tc>
          <w:tcPr/>
          <w:p>
            <w:pPr>
              <w:pStyle w:val="Compact"/>
              <w:jc w:val="left"/>
            </w:pPr>
            <w:r>
              <w:rPr>
                <w:lang w:val="en"/>
              </w:rPr>
              <w:t xml:space="preserve">Value implies a condition factor of 0.533; the index is 0.730 (the index squared)</w:t>
            </w:r>
          </w:p>
        </w:tc>
      </w:tr>
      <w:tr>
        <w:tc>
          <w:tcPr/>
          <w:p>
            <w:pPr>
              <w:pStyle w:val="Compact"/>
              <w:jc w:val="left"/>
            </w:pPr>
            <w:r>
              <w:rPr>
                <w:lang w:val="en"/>
              </w:rPr>
              <w:t xml:space="preserve">AQ-VA2</w:t>
            </w:r>
          </w:p>
        </w:tc>
        <w:tc>
          <w:tcPr/>
          <w:p>
            <w:pPr>
              <w:pStyle w:val="Compact"/>
              <w:jc w:val="left"/>
            </w:pPr>
            <w:r>
              <w:rPr>
                <w:lang w:val="en"/>
              </w:rPr>
              <w:t xml:space="preserve">WE-6a mangrove closing</w:t>
            </w:r>
          </w:p>
        </w:tc>
        <w:tc>
          <w:tcPr/>
          <w:p>
            <w:pPr>
              <w:pStyle w:val="Compact"/>
              <w:jc w:val="left"/>
            </w:pPr>
            <w:r>
              <w:rPr>
                <w:lang w:val="en"/>
              </w:rPr>
              <w:t xml:space="preserve">Value implies a condition factor of 0.470; the index is 0.685 (the index squared)</w:t>
            </w:r>
          </w:p>
        </w:tc>
      </w:tr>
      <w:tr>
        <w:tc>
          <w:tcPr/>
          <w:p>
            <w:pPr>
              <w:pStyle w:val="Compact"/>
              <w:jc w:val="left"/>
            </w:pPr>
            <w:r>
              <w:rPr>
                <w:lang w:val="en"/>
              </w:rPr>
              <w:t xml:space="preserve">AQ-VA3</w:t>
            </w:r>
          </w:p>
        </w:tc>
        <w:tc>
          <w:tcPr/>
          <w:p>
            <w:pPr>
              <w:pStyle w:val="Compact"/>
              <w:jc w:val="left"/>
            </w:pPr>
            <w:r>
              <w:rPr>
                <w:lang w:val="en"/>
              </w:rPr>
              <w:t xml:space="preserve">WE-6a mangrove degradation</w:t>
            </w:r>
          </w:p>
        </w:tc>
        <w:tc>
          <w:tcPr/>
          <w:p>
            <w:pPr>
              <w:pStyle w:val="Compact"/>
              <w:jc w:val="left"/>
            </w:pPr>
            <w:r>
              <w:rPr>
                <w:lang w:val="en"/>
              </w:rPr>
              <w:t xml:space="preserve">Largest service (carbon) is 60% of annual flow value, not over 70%</w:t>
            </w:r>
          </w:p>
        </w:tc>
      </w:tr>
      <w:tr>
        <w:tc>
          <w:tcPr/>
          <w:p>
            <w:pPr>
              <w:pStyle w:val="Compact"/>
              <w:jc w:val="left"/>
            </w:pPr>
            <w:r>
              <w:rPr>
                <w:lang w:val="en"/>
              </w:rPr>
              <w:t xml:space="preserve">AQ-VA6</w:t>
            </w:r>
          </w:p>
        </w:tc>
        <w:tc>
          <w:tcPr/>
          <w:p>
            <w:pPr>
              <w:pStyle w:val="Compact"/>
              <w:jc w:val="left"/>
            </w:pPr>
            <w:r>
              <w:rPr>
                <w:lang w:val="en"/>
              </w:rPr>
              <w:t xml:space="preserve">WE-1 carbon price</w:t>
            </w:r>
          </w:p>
        </w:tc>
        <w:tc>
          <w:tcPr/>
          <w:p>
            <w:pPr>
              <w:pStyle w:val="Compact"/>
              <w:jc w:val="left"/>
            </w:pPr>
            <w:r>
              <w:rPr>
                <w:lang w:val="en"/>
              </w:rPr>
              <w:t xml:space="preserve">Carbon priced on an SCC basis (USD 185 per tCO₂e); account cells hold exchange values</w:t>
            </w:r>
          </w:p>
        </w:tc>
      </w:tr>
      <w:tr>
        <w:tc>
          <w:tcPr/>
          <w:p>
            <w:pPr>
              <w:pStyle w:val="Compact"/>
              <w:jc w:val="left"/>
            </w:pPr>
            <w:r>
              <w:rPr>
                <w:lang w:val="en"/>
              </w:rPr>
              <w:t xml:space="preserve">AQ-FS1</w:t>
            </w:r>
          </w:p>
        </w:tc>
        <w:tc>
          <w:tcPr/>
          <w:p>
            <w:pPr>
              <w:pStyle w:val="Compact"/>
              <w:jc w:val="left"/>
            </w:pPr>
            <w:r>
              <w:rPr>
                <w:lang w:val="en"/>
              </w:rPr>
              <w:t xml:space="preserve">WE-5 B/BMSY</w:t>
            </w:r>
          </w:p>
        </w:tc>
        <w:tc>
          <w:tcPr/>
          <w:p>
            <w:pPr>
              <w:pStyle w:val="Compact"/>
              <w:jc w:val="left"/>
            </w:pPr>
            <w:r>
              <w:rPr>
                <w:lang w:val="en"/>
              </w:rPr>
              <w:t xml:space="preserve">Ratio 1.91 computed on total biomass; on SSB it is 0.78</w:t>
            </w:r>
          </w:p>
        </w:tc>
      </w:tr>
      <w:tr>
        <w:tc>
          <w:tcPr/>
          <w:p>
            <w:pPr>
              <w:pStyle w:val="Compact"/>
              <w:jc w:val="left"/>
            </w:pPr>
            <w:r>
              <w:rPr>
                <w:lang w:val="en"/>
              </w:rPr>
              <w:t xml:space="preserve">AQ-EV2</w:t>
            </w:r>
          </w:p>
        </w:tc>
        <w:tc>
          <w:tcPr/>
          <w:p>
            <w:pPr>
              <w:pStyle w:val="Compact"/>
              <w:jc w:val="left"/>
            </w:pPr>
            <w:r>
              <w:rPr>
                <w:lang w:val="en"/>
              </w:rPr>
              <w:t xml:space="preserve">WE-6a seagrass conversions (reductions)</w:t>
            </w:r>
          </w:p>
        </w:tc>
        <w:tc>
          <w:tcPr/>
          <w:p>
            <w:pPr>
              <w:pStyle w:val="Compact"/>
              <w:jc w:val="left"/>
            </w:pPr>
            <w:r>
              <w:rPr>
                <w:lang w:val="en"/>
              </w:rPr>
              <w:t xml:space="preserve">Entry -8,131; 0.9 km² × 903.5 gives -813</w:t>
            </w:r>
          </w:p>
        </w:tc>
      </w:tr>
    </w:tbl>
    <w:p>
      <w:pPr>
        <w:pStyle w:val="BodyText"/>
      </w:pPr>
      <w:r>
        <w:rPr>
          <w:lang w:val="en"/>
        </w:rPr>
        <w:t xml:space="preserve">¶12</w:t>
      </w:r>
      <w:r>
        <w:rPr>
          <w:lang w:val="en"/>
        </w:rPr>
        <w:t xml:space="preserve"> </w:t>
      </w:r>
      <w:r>
        <w:rPr>
          <w:iCs/>
          <w:i/>
          <w:lang w:val="en"/>
        </w:rPr>
        <w:t xml:space="preserve">Table WE-7: QC log. Thirteen checks fail; AQ-ID1 is not among them.</w:t>
      </w:r>
    </w:p>
    <w:p>
      <w:pPr>
        <w:pStyle w:val="BodyText"/>
      </w:pPr>
      <w:r>
        <w:rPr>
          <w:lang w:val="en"/>
        </w:rPr>
        <w:t xml:space="preserve">¶13</w:t>
      </w:r>
      <w:r>
        <w:rPr>
          <w:lang w:val="en"/>
        </w:rPr>
        <w:t xml:space="preserve"> </w:t>
      </w:r>
      <w:r>
        <w:rPr>
          <w:lang w:val="en"/>
        </w:rPr>
        <w:t xml:space="preserve">Each correction follows the rule its check names; here the condition index enters once, carbon takes the exchange-value price, and the seagrass entry is re-derived from its unit value.</w:t>
      </w:r>
    </w:p>
    <w:p>
      <w:pPr>
        <w:pStyle w:val="BodyText"/>
      </w:pPr>
      <w:r>
        <w:rPr>
          <w:lang w:val="en"/>
        </w:rPr>
        <w:t xml:space="preserve">¶14</w:t>
      </w:r>
      <w:r>
        <w:rPr>
          <w:lang w:val="en"/>
        </w:rPr>
        <w:t xml:space="preserve"> </w:t>
      </w:r>
      <w:r>
        <w:rPr>
          <w:bCs/>
          <w:b/>
          <w:lang w:val="en"/>
        </w:rPr>
        <w:t xml:space="preserve">Table WE-8c: Monetary ecosystem asset account, corrected and flagged (USD thousand)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entry</w:t>
            </w:r>
          </w:p>
        </w:tc>
        <w:tc>
          <w:tcPr/>
          <w:p>
            <w:pPr>
              <w:pStyle w:val="Compact"/>
              <w:jc w:val="left"/>
            </w:pPr>
            <w:r>
              <w:rPr>
                <w:lang w:val="en"/>
              </w:rPr>
              <w:t xml:space="preserve">Mangrove</w:t>
            </w:r>
          </w:p>
        </w:tc>
        <w:tc>
          <w:tcPr/>
          <w:p>
            <w:pPr>
              <w:pStyle w:val="Compact"/>
              <w:jc w:val="left"/>
            </w:pPr>
            <w:r>
              <w:rPr>
                <w:lang w:val="en"/>
              </w:rPr>
              <w:t xml:space="preserve">Seagrass</w:t>
            </w:r>
          </w:p>
        </w:tc>
        <w:tc>
          <w:tcPr/>
          <w:p>
            <w:pPr>
              <w:pStyle w:val="Compact"/>
              <w:jc w:val="left"/>
            </w:pPr>
            <w:r>
              <w:rPr>
                <w:lang w:val="en"/>
              </w:rPr>
              <w:t xml:space="preserve">Aquaculture ponds</w:t>
            </w:r>
          </w:p>
        </w:tc>
        <w:tc>
          <w:tcPr/>
          <w:p>
            <w:pPr>
              <w:pStyle w:val="Compact"/>
              <w:jc w:val="left"/>
            </w:pPr>
            <w:r>
              <w:rPr>
                <w:lang w:val="en"/>
              </w:rPr>
              <w:t xml:space="preserve">Total</w:t>
            </w:r>
          </w:p>
        </w:tc>
      </w:tr>
      <w:tr>
        <w:tc>
          <w:tcPr/>
          <w:p>
            <w:pPr>
              <w:pStyle w:val="Compact"/>
              <w:jc w:val="left"/>
            </w:pPr>
            <w:r>
              <w:rPr>
                <w:bCs/>
                <w:b/>
                <w:lang w:val="en"/>
              </w:rPr>
              <w:t xml:space="preserve">Opening value</w:t>
            </w:r>
          </w:p>
        </w:tc>
        <w:tc>
          <w:tcPr/>
          <w:p>
            <w:pPr>
              <w:pStyle w:val="Compact"/>
              <w:jc w:val="left"/>
            </w:pPr>
            <w:r>
              <w:rPr>
                <w:bCs/>
                <w:b/>
                <w:lang w:val="en"/>
              </w:rPr>
              <w:t xml:space="preserve">73,628</w:t>
            </w:r>
            <w:r>
              <w:rPr>
                <w:lang w:val="en"/>
              </w:rPr>
              <w:t xml:space="preserve"> </w:t>
            </w:r>
            <w:r>
              <w:rPr>
                <w:lang w:val="en"/>
              </w:rPr>
              <w:t xml:space="preserve">[C·E]</w:t>
            </w:r>
          </w:p>
        </w:tc>
        <w:tc>
          <w:tcPr/>
          <w:p>
            <w:pPr>
              <w:pStyle w:val="Compact"/>
              <w:jc w:val="left"/>
            </w:pPr>
            <w:r>
              <w:rPr>
                <w:bCs/>
                <w:b/>
                <w:lang w:val="en"/>
              </w:rPr>
              <w:t xml:space="preserve">14,529</w:t>
            </w:r>
            <w:r>
              <w:rPr>
                <w:lang w:val="en"/>
              </w:rPr>
              <w:t xml:space="preserve"> </w:t>
            </w:r>
            <w:r>
              <w:rPr>
                <w:lang w:val="en"/>
              </w:rPr>
              <w:t xml:space="preserve">[C·E]</w:t>
            </w:r>
          </w:p>
        </w:tc>
        <w:tc>
          <w:tcPr/>
          <w:p>
            <w:pPr>
              <w:pStyle w:val="Compact"/>
              <w:jc w:val="left"/>
            </w:pPr>
            <w:r>
              <w:rPr>
                <w:bCs/>
                <w:b/>
                <w:lang w:val="en"/>
              </w:rPr>
              <w:t xml:space="preserve">0</w:t>
            </w:r>
            <w:r>
              <w:rPr>
                <w:lang w:val="en"/>
              </w:rPr>
              <w:t xml:space="preserve"> </w:t>
            </w:r>
            <w:r>
              <w:rPr>
                <w:lang w:val="en"/>
              </w:rPr>
              <w:t xml:space="preserve">[A]</w:t>
            </w:r>
          </w:p>
        </w:tc>
        <w:tc>
          <w:tcPr/>
          <w:p>
            <w:pPr>
              <w:pStyle w:val="Compact"/>
              <w:jc w:val="left"/>
            </w:pPr>
            <w:r>
              <w:rPr>
                <w:bCs/>
                <w:b/>
                <w:lang w:val="en"/>
              </w:rPr>
              <w:t xml:space="preserve">88,157</w:t>
            </w:r>
            <w:r>
              <w:rPr>
                <w:lang w:val="en"/>
              </w:rPr>
              <w:t xml:space="preserve"> </w:t>
            </w:r>
            <w:r>
              <w:rPr>
                <w:lang w:val="en"/>
              </w:rPr>
              <w:t xml:space="preserve">[C·E]</w:t>
            </w:r>
          </w:p>
        </w:tc>
      </w:tr>
      <w:tr>
        <w:tc>
          <w:tcPr/>
          <w:p>
            <w:pPr>
              <w:pStyle w:val="Compact"/>
              <w:jc w:val="left"/>
            </w:pPr>
            <w:r>
              <w:rPr>
                <w:lang w:val="en"/>
              </w:rPr>
              <w:t xml:space="preserve">Ecosystem enhancement</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Ecosystem degradation</w:t>
            </w:r>
          </w:p>
        </w:tc>
        <w:tc>
          <w:tcPr/>
          <w:p>
            <w:pPr>
              <w:pStyle w:val="Compact"/>
              <w:jc w:val="left"/>
            </w:pPr>
            <w:r>
              <w:rPr>
                <w:lang w:val="en"/>
              </w:rPr>
              <w:t xml:space="preserve">-3,579</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-3,579</w:t>
            </w:r>
          </w:p>
        </w:tc>
      </w:tr>
      <w:tr>
        <w:tc>
          <w:tcPr/>
          <w:p>
            <w:pPr>
              <w:pStyle w:val="Compact"/>
              <w:jc w:val="left"/>
            </w:pPr>
            <w:r>
              <w:rPr>
                <w:lang w:val="en"/>
              </w:rPr>
              <w:t xml:space="preserve">Ecosystem conversions (additions)</w:t>
            </w:r>
          </w:p>
        </w:tc>
        <w:tc>
          <w:tcPr/>
          <w:p>
            <w:pPr>
              <w:pStyle w:val="Compact"/>
              <w:jc w:val="left"/>
            </w:pPr>
            <w:r>
              <w:rPr>
                <w:lang w:val="en"/>
              </w:rPr>
              <w:t xml:space="preserve">0</w:t>
            </w:r>
          </w:p>
        </w:tc>
        <w:tc>
          <w:tcPr/>
          <w:p>
            <w:pPr>
              <w:pStyle w:val="Compact"/>
              <w:jc w:val="left"/>
            </w:pPr>
            <w:r>
              <w:rPr>
                <w:lang w:val="en"/>
              </w:rPr>
              <w:t xml:space="preserve">174</w:t>
            </w:r>
          </w:p>
        </w:tc>
        <w:tc>
          <w:tcPr/>
          <w:p>
            <w:pPr>
              <w:pStyle w:val="Compact"/>
              <w:jc w:val="left"/>
            </w:pPr>
            <w:r>
              <w:rPr>
                <w:lang w:val="en"/>
              </w:rPr>
              <w:t xml:space="preserve">0</w:t>
            </w:r>
          </w:p>
        </w:tc>
        <w:tc>
          <w:tcPr/>
          <w:p>
            <w:pPr>
              <w:pStyle w:val="Compact"/>
              <w:jc w:val="left"/>
            </w:pPr>
            <w:r>
              <w:rPr>
                <w:lang w:val="en"/>
              </w:rPr>
              <w:t xml:space="preserve">174</w:t>
            </w:r>
          </w:p>
        </w:tc>
      </w:tr>
      <w:tr>
        <w:tc>
          <w:tcPr/>
          <w:p>
            <w:pPr>
              <w:pStyle w:val="Compact"/>
              <w:jc w:val="left"/>
            </w:pPr>
            <w:r>
              <w:rPr>
                <w:lang w:val="en"/>
              </w:rPr>
              <w:t xml:space="preserve">Ecosystem conversions (reductions)</w:t>
            </w:r>
          </w:p>
        </w:tc>
        <w:tc>
          <w:tcPr/>
          <w:p>
            <w:pPr>
              <w:pStyle w:val="Compact"/>
              <w:jc w:val="left"/>
            </w:pPr>
            <w:r>
              <w:rPr>
                <w:lang w:val="en"/>
              </w:rPr>
              <w:t xml:space="preserve">-491</w:t>
            </w:r>
          </w:p>
        </w:tc>
        <w:tc>
          <w:tcPr/>
          <w:p>
            <w:pPr>
              <w:pStyle w:val="Compact"/>
              <w:jc w:val="left"/>
            </w:pPr>
            <w:r>
              <w:rPr>
                <w:lang w:val="en"/>
              </w:rPr>
              <w:t xml:space="preserve">-523</w:t>
            </w:r>
          </w:p>
        </w:tc>
        <w:tc>
          <w:tcPr/>
          <w:p>
            <w:pPr>
              <w:pStyle w:val="Compact"/>
              <w:jc w:val="left"/>
            </w:pPr>
            <w:r>
              <w:rPr>
                <w:lang w:val="en"/>
              </w:rPr>
              <w:t xml:space="preserve">0</w:t>
            </w:r>
          </w:p>
        </w:tc>
        <w:tc>
          <w:tcPr/>
          <w:p>
            <w:pPr>
              <w:pStyle w:val="Compact"/>
              <w:jc w:val="left"/>
            </w:pPr>
            <w:r>
              <w:rPr>
                <w:lang w:val="en"/>
              </w:rPr>
              <w:t xml:space="preserve">-1,014</w:t>
            </w:r>
          </w:p>
        </w:tc>
      </w:tr>
      <w:tr>
        <w:tc>
          <w:tcPr/>
          <w:p>
            <w:pPr>
              <w:pStyle w:val="Compact"/>
              <w:jc w:val="left"/>
            </w:pPr>
            <w:r>
              <w:rPr>
                <w:lang w:val="en"/>
              </w:rPr>
              <w:t xml:space="preserve">Catastrophic losses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Reappraisals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Revaluation</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bCs/>
                <w:b/>
                <w:lang w:val="en"/>
              </w:rPr>
              <w:t xml:space="preserve">Closing value</w:t>
            </w:r>
          </w:p>
        </w:tc>
        <w:tc>
          <w:tcPr/>
          <w:p>
            <w:pPr>
              <w:pStyle w:val="Compact"/>
              <w:jc w:val="left"/>
            </w:pPr>
            <w:r>
              <w:rPr>
                <w:bCs/>
                <w:b/>
                <w:lang w:val="en"/>
              </w:rPr>
              <w:t xml:space="preserve">69,558</w:t>
            </w:r>
            <w:r>
              <w:rPr>
                <w:lang w:val="en"/>
              </w:rPr>
              <w:t xml:space="preserve"> </w:t>
            </w:r>
            <w:r>
              <w:rPr>
                <w:lang w:val="en"/>
              </w:rPr>
              <w:t xml:space="preserve">[C·E]</w:t>
            </w:r>
          </w:p>
        </w:tc>
        <w:tc>
          <w:tcPr/>
          <w:p>
            <w:pPr>
              <w:pStyle w:val="Compact"/>
              <w:jc w:val="left"/>
            </w:pPr>
            <w:r>
              <w:rPr>
                <w:bCs/>
                <w:b/>
                <w:lang w:val="en"/>
              </w:rPr>
              <w:t xml:space="preserve">14,180</w:t>
            </w:r>
            <w:r>
              <w:rPr>
                <w:lang w:val="en"/>
              </w:rPr>
              <w:t xml:space="preserve"> </w:t>
            </w:r>
            <w:r>
              <w:rPr>
                <w:lang w:val="en"/>
              </w:rPr>
              <w:t xml:space="preserve">[C·E]</w:t>
            </w:r>
          </w:p>
        </w:tc>
        <w:tc>
          <w:tcPr/>
          <w:p>
            <w:pPr>
              <w:pStyle w:val="Compact"/>
              <w:jc w:val="left"/>
            </w:pPr>
            <w:r>
              <w:rPr>
                <w:bCs/>
                <w:b/>
                <w:lang w:val="en"/>
              </w:rPr>
              <w:t xml:space="preserve">0</w:t>
            </w:r>
            <w:r>
              <w:rPr>
                <w:lang w:val="en"/>
              </w:rPr>
              <w:t xml:space="preserve"> </w:t>
            </w:r>
            <w:r>
              <w:rPr>
                <w:lang w:val="en"/>
              </w:rPr>
              <w:t xml:space="preserve">[A]</w:t>
            </w:r>
          </w:p>
        </w:tc>
        <w:tc>
          <w:tcPr/>
          <w:p>
            <w:pPr>
              <w:pStyle w:val="Compact"/>
              <w:jc w:val="left"/>
            </w:pPr>
            <w:r>
              <w:rPr>
                <w:bCs/>
                <w:b/>
                <w:lang w:val="en"/>
              </w:rPr>
              <w:t xml:space="preserve">83,738</w:t>
            </w:r>
            <w:r>
              <w:rPr>
                <w:lang w:val="en"/>
              </w:rPr>
              <w:t xml:space="preserve"> </w:t>
            </w:r>
            <w:r>
              <w:rPr>
                <w:lang w:val="en"/>
              </w:rPr>
              <w:t xml:space="preserve">[C·E]</w:t>
            </w:r>
          </w:p>
        </w:tc>
      </w:tr>
    </w:tbl>
    <w:p>
      <w:pPr>
        <w:pStyle w:val="BodyText"/>
      </w:pPr>
      <w:r>
        <w:rPr>
          <w:lang w:val="en"/>
        </w:rPr>
        <w:t xml:space="preserve">¶15</w:t>
      </w:r>
      <w:r>
        <w:rPr>
          <w:lang w:val="en"/>
        </w:rPr>
        <w:t xml:space="preserve"> </w:t>
      </w:r>
      <w:r>
        <w:rPr>
          <w:iCs/>
          <w:i/>
          <w:lang w:val="en"/>
        </w:rPr>
        <w:t xml:space="preserve">Subtidal sediment and Shelf waters: not valued (”..”), so not shown. Aquaculture ponds: a confirmed zero, not a gap.</w:t>
      </w:r>
    </w:p>
    <w:p>
      <w:pPr>
        <w:pStyle w:val="BodyText"/>
      </w:pPr>
      <w:r>
        <w:rPr>
          <w:lang w:val="en"/>
        </w:rPr>
        <w:t xml:space="preserve">¶16</w:t>
      </w:r>
      <w:r>
        <w:rPr>
          <w:lang w:val="en"/>
        </w:rPr>
        <w:t xml:space="preserve"> </w:t>
      </w:r>
      <w:r>
        <w:rPr>
          <w:iCs/>
          <w:i/>
          <w:lang w:val="en"/>
        </w:rPr>
        <w:t xml:space="preserve">Table WE-8c: Monetary ecosystem asset account, corrected. Every valued cell except the confirmed zero for ponds is C·E, because the valuation ranges are wide (companion Table WE-10b).</w:t>
      </w:r>
    </w:p>
    <w:p>
      <w:pPr>
        <w:pStyle w:val="BodyText"/>
      </w:pPr>
      <w:r>
        <w:rPr>
          <w:lang w:val="en"/>
        </w:rPr>
        <w:t xml:space="preserve">¶17</w:t>
      </w:r>
      <w:r>
        <w:rPr>
          <w:lang w:val="en"/>
        </w:rPr>
        <w:t xml:space="preserve"> </w:t>
      </w:r>
      <w:r>
        <w:rPr>
          <w:bCs/>
          <w:b/>
          <w:lang w:val="en"/>
        </w:rPr>
        <w:t xml:space="preserve">What the example shows.</w:t>
      </w:r>
      <w:r>
        <w:rPr>
          <w:lang w:val="en"/>
        </w:rPr>
        <w:t xml:space="preserve"> </w:t>
      </w:r>
      <w:r>
        <w:rPr>
          <w:lang w:val="en"/>
        </w:rPr>
        <w:t xml:space="preserve">An account can be internally consistent and still wrong in six ways. It can be incomplete (E1); recorded net where gross is required (E2); in breach of a valuation rule (E3, E4); carrying an arithmetic slip (E5, E9); letting a total or a row take in an item that belongs elsewhere (E6, E7); or computing a derived figure on the wrong concept (E8). Each is caught by a check that recomputes from evidence outside the row being checked: the change matrix, the parameter register, the unit value, the physical account, or the stock assessment.</w:t>
      </w:r>
    </w:p>
    <w:bookmarkStart w:id="114" w:name="X7bba996b63a5d67786d792c7716ed8b55ab019c"/>
    <w:p>
      <w:pPr>
        <w:pStyle w:val="Heading3"/>
      </w:pPr>
      <w:r>
        <w:rPr>
          <w:lang w:val="en"/>
        </w:rPr>
        <w:t xml:space="preserve">3.9</w:t>
      </w:r>
      <w:r>
        <w:rPr>
          <w:lang w:val="en"/>
        </w:rPr>
        <w:t xml:space="preserve"> </w:t>
      </w:r>
      <w:r>
        <w:rPr>
          <w:lang w:val="en"/>
        </w:rPr>
        <w:t xml:space="preserve">Uncertainty Assessment</w:t>
      </w:r>
    </w:p>
    <w:p>
      <w:pPr>
        <w:pStyle w:val="FirstParagraph"/>
      </w:pPr>
      <w:hyperlink w:anchor="X7bba996b63a5d67786d792c7716ed8b55ab019c">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Uncertainty Assessment”</w:t>
        </w:r>
      </w:hyperlink>
    </w:p>
    <w:bookmarkEnd w:id="114"/>
    <w:p>
      <w:pPr>
        <w:pStyle w:val="BodyText"/>
      </w:pPr>
      <w:r>
        <w:rPr>
          <w:lang w:val="en"/>
        </w:rPr>
        <w:t xml:space="preserve">¶1</w:t>
      </w:r>
      <w:r>
        <w:rPr>
          <w:lang w:val="en"/>
        </w:rPr>
        <w:t xml:space="preserve"> </w:t>
      </w:r>
      <w:r>
        <w:rPr>
          <w:lang w:val="en"/>
        </w:rPr>
        <w:t xml:space="preserve">TG-0.7 Section 3.4 names the four categories of uncertainty from SEEA EA paras 2.90—2.94, with their usual sources in ocean accounts</w:t>
      </w:r>
      <w:hyperlink w:anchor="user-content-fn-2">
        <w:r>
          <w:rPr>
            <w:rStyle w:val="Hyperlink"/>
            <w:vertAlign w:val="superscript"/>
            <w:lang w:val="en"/>
          </w:rPr>
          <w:t xml:space="preserve">2</w:t>
        </w:r>
      </w:hyperlink>
      <w:r>
        <w:rPr>
          <w:lang w:val="en"/>
        </w:rPr>
        <w:t xml:space="preserve">, and this Circular does not repeat them. For asset accounts three physical sources dominate, and each has its method elsewhere: the area confidence interval from the accuracy assessment (AQ-EX2), the biomass and sustainable-yield intervals from the stock assessment (</w:t>
      </w:r>
      <w:hyperlink r:id="rId45">
        <w:r>
          <w:rPr>
            <w:rStyle w:val="Hyperlink"/>
            <w:bCs/>
            <w:b/>
            <w:lang w:val="en"/>
          </w:rPr>
          <w:t xml:space="preserve">TG-6.7</w:t>
        </w:r>
      </w:hyperlink>
      <w:r>
        <w:rPr>
          <w:lang w:val="en"/>
        </w:rPr>
        <w:t xml:space="preserve"> </w:t>
      </w:r>
      <w:r>
        <w:rPr>
          <w:lang w:val="en"/>
        </w:rPr>
        <w:t xml:space="preserve">Section 3.6), and the standard error of the condition index (AQ-CO5). Valuation and future-price uncertainty are carried by the discount-rate grid (AQ-VA5) and by the range reported with every value.</w:t>
      </w:r>
    </w:p>
    <w:p>
      <w:pPr>
        <w:pStyle w:val="BodyText"/>
      </w:pPr>
      <w:r>
        <w:rPr>
          <w:lang w:val="en"/>
        </w:rPr>
        <w:t xml:space="preserve">¶2</w:t>
      </w:r>
      <w:r>
        <w:rPr>
          <w:lang w:val="en"/>
        </w:rPr>
        <w:t xml:space="preserve"> </w:t>
      </w:r>
      <w:r>
        <w:rPr>
          <w:bCs/>
          <w:b/>
          <w:lang w:val="en"/>
        </w:rPr>
        <w:t xml:space="preserve">Method.</w:t>
      </w:r>
      <w:r>
        <w:rPr>
          <w:lang w:val="en"/>
        </w:rPr>
        <w:t xml:space="preserve"> </w:t>
      </w:r>
      <w:r>
        <w:rPr>
          <w:lang w:val="en"/>
        </w:rPr>
        <w:t xml:space="preserve">Uncertainty is quantified up a ladder, going as far as the data allow: a qualitative statement; an analytic, first-order combination in the manner of the GUM</w:t>
      </w:r>
      <w:hyperlink w:anchor="user-content-fn-10">
        <w:r>
          <w:rPr>
            <w:rStyle w:val="Hyperlink"/>
            <w:vertAlign w:val="superscript"/>
            <w:lang w:val="en"/>
          </w:rPr>
          <w:t xml:space="preserve">11</w:t>
        </w:r>
      </w:hyperlink>
      <w:r>
        <w:rPr>
          <w:lang w:val="en"/>
        </w:rPr>
        <w:t xml:space="preserve">; Monte Carlo propagation with at least 1,000 draws</w:t>
      </w:r>
      <w:hyperlink w:anchor="user-content-fn-11">
        <w:r>
          <w:rPr>
            <w:rStyle w:val="Hyperlink"/>
            <w:vertAlign w:val="superscript"/>
            <w:lang w:val="en"/>
          </w:rPr>
          <w:t xml:space="preserve">12</w:t>
        </w:r>
      </w:hyperlink>
      <w:r>
        <w:rPr>
          <w:lang w:val="en"/>
        </w:rPr>
        <w:t xml:space="preserve">; and a Bayesian treatment where priors are defensible. Intervals are reported at 95%. For an asset valued as the present value of its flows, the analytic step is</w:t>
      </w:r>
    </w:p>
    <w:p>
      <w:pPr>
        <w:pStyle w:val="BodyText"/>
      </w:pPr>
      <w:r>
        <w:rPr>
          <w:lang w:val="en"/>
        </w:rPr>
        <w:t xml:space="preserve">¶3</w:t>
      </w:r>
      <w:r>
        <w:rPr>
          <w:lang w:val="en"/>
        </w:rPr>
        <w:t xml:space="preserve"> </w:t>
      </w:r>
      <m:oMathPara>
        <m:oMathParaPr>
          <m:jc m:val="center"/>
        </m:oMathParaPr>
        <m:oMath>
          <m:r>
            <m:t>V</m:t>
          </m:r>
          <m:r>
            <m:rPr>
              <m:sty m:val="p"/>
            </m:rPr>
            <m:t>=</m:t>
          </m:r>
          <m:nary>
            <m:naryPr>
              <m:chr m:val="∑"/>
              <m:limLoc m:val="undOvr"/>
              <m:subHide m:val="off"/>
              <m:supHide m:val="off"/>
            </m:naryPr>
            <m:sub>
              <m:r>
                <m:t>t</m:t>
              </m:r>
              <m:r>
                <m:rPr>
                  <m:sty m:val="p"/>
                </m:rPr>
                <m:t>=</m:t>
              </m:r>
              <m:r>
                <m:t>1</m:t>
              </m:r>
            </m:sub>
            <m:sup>
              <m:r>
                <m:t>T</m:t>
              </m:r>
            </m:sup>
            <m:e>
              <m:f>
                <m:fPr>
                  <m:type m:val="bar"/>
                </m:fPr>
                <m:num>
                  <m:sSub>
                    <m:e>
                      <m:r>
                        <m:t>Q</m:t>
                      </m:r>
                    </m:e>
                    <m:sub>
                      <m:r>
                        <m:t>t</m:t>
                      </m:r>
                    </m:sub>
                  </m:sSub>
                  <m:r>
                    <m:t> </m:t>
                  </m:r>
                  <m:sSub>
                    <m:e>
                      <m:r>
                        <m:t>p</m:t>
                      </m:r>
                    </m:e>
                    <m:sub>
                      <m:r>
                        <m:t>t</m:t>
                      </m:r>
                    </m:sub>
                  </m:sSub>
                </m:num>
                <m:den>
                  <m:sSup>
                    <m:e>
                      <m:d>
                        <m:dPr>
                          <m:begChr m:val="("/>
                          <m:endChr m:val=")"/>
                          <m:sepChr m:val=""/>
                          <m:grow/>
                        </m:dPr>
                        <m:e>
                          <m:r>
                            <m:t>1</m:t>
                          </m:r>
                          <m:r>
                            <m:rPr>
                              <m:sty m:val="p"/>
                            </m:rPr>
                            <m:t>+</m:t>
                          </m:r>
                          <m:r>
                            <m:t>r</m:t>
                          </m:r>
                        </m:e>
                      </m:d>
                    </m:e>
                    <m:sup>
                      <m:r>
                        <m:t>t</m:t>
                      </m:r>
                    </m:sup>
                  </m:sSup>
                </m:den>
              </m:f>
            </m:e>
          </m:nary>
          <m:r>
            <m:rPr>
              <m:sty m:val="p"/>
            </m:rPr>
            <m:t>,</m:t>
          </m:r>
          <m:r>
            <m:t>  </m:t>
          </m:r>
          <m:sSup>
            <m:e>
              <m:d>
                <m:dPr>
                  <m:begChr m:val="("/>
                  <m:endChr m:val=")"/>
                  <m:sepChr m:val=""/>
                  <m:grow/>
                </m:dPr>
                <m:e>
                  <m:f>
                    <m:fPr>
                      <m:type m:val="bar"/>
                    </m:fPr>
                    <m:num>
                      <m:sSub>
                        <m:e>
                          <m:r>
                            <m:t>u</m:t>
                          </m:r>
                        </m:e>
                        <m:sub>
                          <m:r>
                            <m:t>V</m:t>
                          </m:r>
                        </m:sub>
                      </m:sSub>
                    </m:num>
                    <m:den>
                      <m:r>
                        <m:t>V</m:t>
                      </m:r>
                    </m:den>
                  </m:f>
                </m:e>
              </m:d>
            </m:e>
            <m:sup>
              <m:r>
                <m:t>2</m:t>
              </m:r>
            </m:sup>
          </m:sSup>
          <m:r>
            <m:rPr>
              <m:sty m:val="p"/>
            </m:rPr>
            <m:t>≈</m:t>
          </m:r>
          <m:sSup>
            <m:e>
              <m:d>
                <m:dPr>
                  <m:begChr m:val="("/>
                  <m:endChr m:val=")"/>
                  <m:sepChr m:val=""/>
                  <m:grow/>
                </m:dPr>
                <m:e>
                  <m:f>
                    <m:fPr>
                      <m:type m:val="bar"/>
                    </m:fPr>
                    <m:num>
                      <m:sSub>
                        <m:e>
                          <m:r>
                            <m:t>u</m:t>
                          </m:r>
                        </m:e>
                        <m:sub>
                          <m:r>
                            <m:t>Q</m:t>
                          </m:r>
                        </m:sub>
                      </m:sSub>
                    </m:num>
                    <m:den>
                      <m:r>
                        <m:t>Q</m:t>
                      </m:r>
                    </m:den>
                  </m:f>
                </m:e>
              </m:d>
            </m:e>
            <m:sup>
              <m:r>
                <m:t>2</m:t>
              </m:r>
            </m:sup>
          </m:sSup>
          <m:r>
            <m:rPr>
              <m:sty m:val="p"/>
            </m:rPr>
            <m:t>+</m:t>
          </m:r>
          <m:sSup>
            <m:e>
              <m:d>
                <m:dPr>
                  <m:begChr m:val="("/>
                  <m:endChr m:val=")"/>
                  <m:sepChr m:val=""/>
                  <m:grow/>
                </m:dPr>
                <m:e>
                  <m:f>
                    <m:fPr>
                      <m:type m:val="bar"/>
                    </m:fPr>
                    <m:num>
                      <m:sSub>
                        <m:e>
                          <m:r>
                            <m:t>u</m:t>
                          </m:r>
                        </m:e>
                        <m:sub>
                          <m:r>
                            <m:t>p</m:t>
                          </m:r>
                        </m:sub>
                      </m:sSub>
                    </m:num>
                    <m:den>
                      <m:r>
                        <m:t>p</m:t>
                      </m:r>
                    </m:den>
                  </m:f>
                </m:e>
              </m:d>
            </m:e>
            <m:sup>
              <m:r>
                <m:t>2</m:t>
              </m:r>
            </m:sup>
          </m:sSup>
        </m:oMath>
      </m:oMathPara>
      <w:r>
        <w:rPr>
          <w:lang w:val="en"/>
        </w:rPr>
        <w:t xml:space="preserve">V</w:t>
      </w:r>
      <w:r>
        <w:rPr>
          <w:lang w:val="en"/>
        </w:rPr>
        <w:t xml:space="preserve">=</w:t>
      </w:r>
      <w:r>
        <w:rPr>
          <w:lang w:val="en"/>
        </w:rPr>
        <w:t xml:space="preserve">t</w:t>
      </w:r>
      <w:r>
        <w:rPr>
          <w:lang w:val="en"/>
        </w:rPr>
        <w:t xml:space="preserve">=</w:t>
      </w:r>
      <w:r>
        <w:rPr>
          <w:lang w:val="en"/>
        </w:rPr>
        <w:t xml:space="preserve">1</w:t>
      </w:r>
      <w:r>
        <w:rPr>
          <w:lang w:val="en"/>
        </w:rPr>
        <w:t xml:space="preserve">∑</w:t>
      </w:r>
      <w:r>
        <w:rPr>
          <w:lang w:val="en"/>
        </w:rPr>
        <w:t xml:space="preserve">T</w:t>
      </w:r>
      <w:r>
        <w:rPr>
          <w:lang w:val="en"/>
        </w:rPr>
        <w:t xml:space="preserve">​</w:t>
      </w:r>
      <w:r>
        <w:rPr>
          <w:lang w:val="en"/>
        </w:rPr>
        <w:t xml:space="preserve">(</w:t>
      </w:r>
      <w:r>
        <w:rPr>
          <w:lang w:val="en"/>
        </w:rPr>
        <w:t xml:space="preserve">1</w:t>
      </w:r>
      <w:r>
        <w:rPr>
          <w:lang w:val="en"/>
        </w:rPr>
        <w:t xml:space="preserve">+</w:t>
      </w:r>
      <w:r>
        <w:rPr>
          <w:lang w:val="en"/>
        </w:rPr>
        <w:t xml:space="preserve">r</w:t>
      </w:r>
      <w:r>
        <w:rPr>
          <w:lang w:val="en"/>
        </w:rPr>
        <w:t xml:space="preserve">)</w:t>
      </w:r>
      <w:r>
        <w:rPr>
          <w:lang w:val="en"/>
        </w:rPr>
        <w:t xml:space="preserve">t</w:t>
      </w:r>
      <w:r>
        <w:rPr>
          <w:lang w:val="en"/>
        </w:rPr>
        <w:t xml:space="preserve">Q</w:t>
      </w:r>
      <w:r>
        <w:rPr>
          <w:lang w:val="en"/>
        </w:rPr>
        <w:t xml:space="preserve">t</w:t>
      </w:r>
      <w:r>
        <w:rPr>
          <w:lang w:val="en"/>
        </w:rPr>
        <w:t xml:space="preserve">​</w:t>
      </w:r>
      <w:r>
        <w:rPr>
          <w:lang w:val="en"/>
        </w:rPr>
        <w:t xml:space="preserve">p</w:t>
      </w:r>
      <w:r>
        <w:rPr>
          <w:lang w:val="en"/>
        </w:rPr>
        <w:t xml:space="preserve">t</w:t>
      </w:r>
      <w:r>
        <w:rPr>
          <w:lang w:val="en"/>
        </w:rPr>
        <w:t xml:space="preserve">​</w:t>
      </w:r>
      <w:r>
        <w:rPr>
          <w:lang w:val="en"/>
        </w:rPr>
        <w:t xml:space="preserve">​</w:t>
      </w:r>
      <w:r>
        <w:rPr>
          <w:lang w:val="en"/>
        </w:rPr>
        <w:t xml:space="preserve">,</w:t>
      </w:r>
      <w:r>
        <w:rPr>
          <w:lang w:val="en"/>
        </w:rPr>
        <w:t xml:space="preserve">(</w:t>
      </w:r>
      <w:r>
        <w:rPr>
          <w:lang w:val="en"/>
        </w:rPr>
        <w:t xml:space="preserve">V</w:t>
      </w:r>
      <w:r>
        <w:rPr>
          <w:lang w:val="en"/>
        </w:rPr>
        <w:t xml:space="preserve">u</w:t>
      </w:r>
      <w:r>
        <w:rPr>
          <w:lang w:val="en"/>
        </w:rPr>
        <w:t xml:space="preserve">V</w:t>
      </w:r>
      <w:r>
        <w:rPr>
          <w:lang w:val="en"/>
        </w:rPr>
        <w:t xml:space="preserve">​</w:t>
      </w:r>
      <w:r>
        <w:rPr>
          <w:lang w:val="en"/>
        </w:rPr>
        <w:t xml:space="preserve">​</w:t>
      </w:r>
      <w:r>
        <w:rPr>
          <w:lang w:val="en"/>
        </w:rPr>
        <w:t xml:space="preserve">)</w:t>
      </w:r>
      <w:r>
        <w:rPr>
          <w:lang w:val="en"/>
        </w:rPr>
        <w:t xml:space="preserve">2</w:t>
      </w:r>
      <w:r>
        <w:rPr>
          <w:lang w:val="en"/>
        </w:rPr>
        <w:t xml:space="preserve">≈</w:t>
      </w:r>
      <w:r>
        <w:rPr>
          <w:lang w:val="en"/>
        </w:rPr>
        <w:t xml:space="preserve">(</w:t>
      </w:r>
      <w:r>
        <w:rPr>
          <w:lang w:val="en"/>
        </w:rPr>
        <w:t xml:space="preserve">Q</w:t>
      </w:r>
      <w:r>
        <w:rPr>
          <w:lang w:val="en"/>
        </w:rPr>
        <w:t xml:space="preserve">u</w:t>
      </w:r>
      <w:r>
        <w:rPr>
          <w:lang w:val="en"/>
        </w:rPr>
        <w:t xml:space="preserve">Q</w:t>
      </w:r>
      <w:r>
        <w:rPr>
          <w:lang w:val="en"/>
        </w:rPr>
        <w:t xml:space="preserve">​</w:t>
      </w:r>
      <w:r>
        <w:rPr>
          <w:lang w:val="en"/>
        </w:rPr>
        <w:t xml:space="preserve">​</w:t>
      </w:r>
      <w:r>
        <w:rPr>
          <w:lang w:val="en"/>
        </w:rPr>
        <w:t xml:space="preserve">)</w:t>
      </w:r>
      <w:r>
        <w:rPr>
          <w:lang w:val="en"/>
        </w:rPr>
        <w:t xml:space="preserve">2</w:t>
      </w:r>
      <w:r>
        <w:rPr>
          <w:lang w:val="en"/>
        </w:rPr>
        <w:t xml:space="preserve">+</w:t>
      </w:r>
      <w:r>
        <w:rPr>
          <w:lang w:val="en"/>
        </w:rPr>
        <w:t xml:space="preserve">(</w:t>
      </w:r>
      <w:r>
        <w:rPr>
          <w:lang w:val="en"/>
        </w:rPr>
        <w:t xml:space="preserve">p</w:t>
      </w:r>
      <w:r>
        <w:rPr>
          <w:lang w:val="en"/>
        </w:rPr>
        <w:t xml:space="preserve">u</w:t>
      </w:r>
      <w:r>
        <w:rPr>
          <w:lang w:val="en"/>
        </w:rPr>
        <w:t xml:space="preserve">p</w:t>
      </w:r>
      <w:r>
        <w:rPr>
          <w:lang w:val="en"/>
        </w:rPr>
        <w:t xml:space="preserve">​</w:t>
      </w:r>
      <w:r>
        <w:rPr>
          <w:lang w:val="en"/>
        </w:rPr>
        <w:t xml:space="preserve">​</w:t>
      </w:r>
      <w:r>
        <w:rPr>
          <w:lang w:val="en"/>
        </w:rPr>
        <w:t xml:space="preserve">)</w:t>
      </w:r>
      <w:r>
        <w:rPr>
          <w:lang w:val="en"/>
        </w:rPr>
        <w:t xml:space="preserve">2</w:t>
      </w:r>
    </w:p>
    <w:p>
      <w:pPr>
        <w:pStyle w:val="FirstParagraph"/>
      </w:pPr>
      <w:r>
        <w:rPr>
          <w:lang w:val="en"/>
        </w:rPr>
        <w:t xml:space="preserve">¶4</w:t>
      </w:r>
      <w:r>
        <w:rPr>
          <w:lang w:val="en"/>
        </w:rPr>
        <w:t xml:space="preserve"> </w:t>
      </w:r>
      <w:r>
        <w:rPr>
          <w:lang w:val="en"/>
        </w:rPr>
        <w:t xml:space="preserve">where</w:t>
      </w:r>
      <w:r>
        <w:rPr>
          <w:lang w:val="en"/>
        </w:rPr>
        <w:t xml:space="preserve"> </w:t>
      </w:r>
      <w:r>
        <w:rPr>
          <w:iCs/>
          <w:i/>
          <w:lang w:val="en"/>
        </w:rPr>
        <w:t xml:space="preserve">Q</w:t>
      </w:r>
      <w:r>
        <w:rPr>
          <w:vertAlign w:val="subscript"/>
          <w:iCs/>
          <w:i/>
          <w:lang w:val="en"/>
        </w:rPr>
        <w:t xml:space="preserve">t</w:t>
      </w:r>
      <w:r>
        <w:rPr>
          <w:lang w:val="en"/>
        </w:rPr>
        <w:t xml:space="preserve"> </w:t>
      </w:r>
      <w:r>
        <w:rPr>
          <w:lang w:val="en"/>
        </w:rPr>
        <w:t xml:space="preserve">is the quantity,</w:t>
      </w:r>
      <w:r>
        <w:rPr>
          <w:lang w:val="en"/>
        </w:rPr>
        <w:t xml:space="preserve"> </w:t>
      </w:r>
      <w:r>
        <w:rPr>
          <w:iCs/>
          <w:i/>
          <w:lang w:val="en"/>
        </w:rPr>
        <w:t xml:space="preserve">p</w:t>
      </w:r>
      <w:r>
        <w:rPr>
          <w:vertAlign w:val="subscript"/>
          <w:iCs/>
          <w:i/>
          <w:lang w:val="en"/>
        </w:rPr>
        <w:t xml:space="preserve">t</w:t>
      </w:r>
      <w:r>
        <w:rPr>
          <w:lang w:val="en"/>
        </w:rPr>
        <w:t xml:space="preserve"> </w:t>
      </w:r>
      <w:r>
        <w:rPr>
          <w:lang w:val="en"/>
        </w:rPr>
        <w:t xml:space="preserve">the unit value, and</w:t>
      </w:r>
      <w:r>
        <w:rPr>
          <w:lang w:val="en"/>
        </w:rPr>
        <w:t xml:space="preserve"> </w:t>
      </w:r>
      <w:r>
        <w:rPr>
          <w:iCs/>
          <w:i/>
          <w:lang w:val="en"/>
        </w:rPr>
        <w:t xml:space="preserve">u</w:t>
      </w:r>
      <w:r>
        <w:rPr>
          <w:lang w:val="en"/>
        </w:rPr>
        <w:t xml:space="preserve"> </w:t>
      </w:r>
      <w:r>
        <w:rPr>
          <w:lang w:val="en"/>
        </w:rPr>
        <w:t xml:space="preserve">a standard uncertainty. The quadrature form assumes the quantity and the price are independent. Where they are not, as when a sustainable yield and a unit rent both depend on the same biomass, Monte Carlo over rent, sustainable yield, discount rate and horizon replaces it.</w:t>
      </w:r>
    </w:p>
    <w:p>
      <w:pPr>
        <w:pStyle w:val="BodyText"/>
      </w:pPr>
      <w:r>
        <w:rPr>
          <w:lang w:val="en"/>
        </w:rPr>
        <w:t xml:space="preserve">¶5</w:t>
      </w:r>
      <w:r>
        <w:rPr>
          <w:lang w:val="en"/>
        </w:rPr>
        <w:t xml:space="preserve"> </w:t>
      </w:r>
      <w:r>
        <w:rPr>
          <w:bCs/>
          <w:b/>
          <w:lang w:val="en"/>
        </w:rPr>
        <w:t xml:space="preserve">Reporting.</w:t>
      </w:r>
      <w:r>
        <w:rPr>
          <w:lang w:val="en"/>
        </w:rPr>
        <w:t xml:space="preserve"> </w:t>
      </w:r>
      <w:r>
        <w:rPr>
          <w:lang w:val="en"/>
        </w:rPr>
        <w:t xml:space="preserve">Every monetary asset value is published with its range. The discount-rate grid (AQ-VA5) and the aggregation-rule sensitivity (AQ-CO4) go beside the account, not in an annex a user may not open.</w:t>
      </w:r>
    </w:p>
    <w:p>
      <w:pPr>
        <w:pStyle w:val="BodyText"/>
      </w:pPr>
      <w:r>
        <w:rPr>
          <w:lang w:val="en"/>
        </w:rPr>
        <w:t xml:space="preserve">¶6</w:t>
      </w:r>
      <w:r>
        <w:rPr>
          <w:lang w:val="en"/>
        </w:rPr>
        <w:t xml:space="preserve"> </w:t>
      </w:r>
      <w:r>
        <w:rPr>
          <w:bCs/>
          <w:b/>
          <w:lang w:val="en"/>
        </w:rPr>
        <w:t xml:space="preserve">Modelled flows.</w:t>
      </w:r>
      <w:r>
        <w:rPr>
          <w:lang w:val="en"/>
        </w:rPr>
        <w:t xml:space="preserve"> </w:t>
      </w:r>
      <w:r>
        <w:rPr>
          <w:lang w:val="en"/>
        </w:rPr>
        <w:t xml:space="preserve">Where a service flow or a stock comes from a model, it is validated as</w:t>
      </w:r>
      <w:r>
        <w:rPr>
          <w:lang w:val="en"/>
        </w:rPr>
        <w:t xml:space="preserve"> </w:t>
      </w:r>
      <w:hyperlink r:id="rId115">
        <w:r>
          <w:rPr>
            <w:rStyle w:val="Hyperlink"/>
            <w:bCs/>
            <w:b/>
            <w:lang w:val="en"/>
          </w:rPr>
          <w:t xml:space="preserve">TG-4.11</w:t>
        </w:r>
      </w:hyperlink>
      <w:r>
        <w:rPr>
          <w:lang w:val="en"/>
        </w:rPr>
        <w:t xml:space="preserve"> </w:t>
      </w:r>
      <w:r>
        <w:rPr>
          <w:lang w:val="en"/>
        </w:rPr>
        <w:t xml:space="preserve">Section 3.3 sets out. Until it is, it is flagged E (TG-4.5 Section 3.3.3). A biophysical model also conserves mass and area, the check the IPCC 2019 Refinement adds in Section 6.12</w:t>
      </w:r>
      <w:hyperlink w:anchor="user-content-fn-13">
        <w:r>
          <w:rPr>
            <w:rStyle w:val="Hyperlink"/>
            <w:vertAlign w:val="superscript"/>
            <w:lang w:val="en"/>
          </w:rPr>
          <w:t xml:space="preserve">13</w:t>
        </w:r>
      </w:hyperlink>
      <w:r>
        <w:rPr>
          <w:lang w:val="en"/>
        </w:rPr>
        <w:t xml:space="preserve">.</w:t>
      </w:r>
    </w:p>
    <w:bookmarkStart w:id="118" w:name="X57cc0df173ad7f347ea63bcaf7bedfb91a2d630"/>
    <w:p>
      <w:pPr>
        <w:pStyle w:val="Heading3"/>
      </w:pPr>
      <w:r>
        <w:rPr>
          <w:lang w:val="en"/>
        </w:rPr>
        <w:t xml:space="preserve">3.10</w:t>
      </w:r>
      <w:r>
        <w:rPr>
          <w:lang w:val="en"/>
        </w:rPr>
        <w:t xml:space="preserve"> </w:t>
      </w:r>
      <w:r>
        <w:rPr>
          <w:lang w:val="en"/>
        </w:rPr>
        <w:t xml:space="preserve">Review, Documentation and Release</w:t>
      </w:r>
    </w:p>
    <w:p>
      <w:pPr>
        <w:pStyle w:val="FirstParagraph"/>
      </w:pPr>
      <w:hyperlink w:anchor="X57cc0df173ad7f347ea63bcaf7bedfb91a2d630">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 Review, Documentation and Release”</w:t>
        </w:r>
      </w:hyperlink>
    </w:p>
    <w:bookmarkEnd w:id="118"/>
    <w:p>
      <w:pPr>
        <w:pStyle w:val="BodyText"/>
      </w:pPr>
      <w:r>
        <w:rPr>
          <w:lang w:val="en"/>
        </w:rPr>
        <w:t xml:space="preserve">¶1</w:t>
      </w:r>
      <w:r>
        <w:rPr>
          <w:lang w:val="en"/>
        </w:rPr>
        <w:t xml:space="preserve"> </w:t>
      </w:r>
      <w:r>
        <w:rPr>
          <w:bCs/>
          <w:b/>
          <w:lang w:val="en"/>
        </w:rPr>
        <w:t xml:space="preserve">AQ-RV1: review.</w:t>
      </w:r>
      <w:r>
        <w:rPr>
          <w:lang w:val="en"/>
        </w:rPr>
        <w:t xml:space="preserve"> </w:t>
      </w:r>
      <w:r>
        <w:rPr>
          <w:lang w:val="en"/>
        </w:rPr>
        <w:t xml:space="preserve">A reviewer not involved in compilation reviews the evidence pack, recomputes a sample of cells and every headline figure, and logs each finding as closed or accepted</w:t>
      </w:r>
      <w:hyperlink w:anchor="user-content-fn-1">
        <w:r>
          <w:rPr>
            <w:rStyle w:val="Hyperlink"/>
            <w:vertAlign w:val="superscript"/>
            <w:lang w:val="en"/>
          </w:rPr>
          <w:t xml:space="preserve">1</w:t>
        </w:r>
      </w:hyperlink>
      <w:r>
        <w:rPr>
          <w:lang w:val="en"/>
        </w:rPr>
        <w:t xml:space="preserve">. Independent review is recommended, not a condition of release. For an asset account the reviewer should include a subject specialist for each part compiled: a stock-assessment scientist for the stock, a remote-sensing accuracy specialist for extent, and an environmental economist for valuation. Tier 3 makes this the standard (Section 3.2).</w:t>
      </w:r>
    </w:p>
    <w:p>
      <w:pPr>
        <w:pStyle w:val="BodyText"/>
      </w:pPr>
      <w:r>
        <w:rPr>
          <w:lang w:val="en"/>
        </w:rPr>
        <w:t xml:space="preserve">¶2</w:t>
      </w:r>
      <w:r>
        <w:rPr>
          <w:lang w:val="en"/>
        </w:rPr>
        <w:t xml:space="preserve"> </w:t>
      </w:r>
      <w:r>
        <w:rPr>
          <w:bCs/>
          <w:b/>
          <w:lang w:val="en"/>
        </w:rPr>
        <w:t xml:space="preserve">AQ-RV2: documentation.</w:t>
      </w:r>
      <w:r>
        <w:rPr>
          <w:lang w:val="en"/>
        </w:rPr>
        <w:t xml:space="preserve"> </w:t>
      </w:r>
      <w:r>
        <w:rPr>
          <w:lang w:val="en"/>
        </w:rPr>
        <w:t xml:space="preserve">The four documentation categories of TG-0.7 Section 3.5 are completed for the account</w:t>
      </w:r>
      <w:hyperlink w:anchor="user-content-fn-2">
        <w:r>
          <w:rPr>
            <w:rStyle w:val="Hyperlink"/>
            <w:vertAlign w:val="superscript"/>
            <w:lang w:val="en"/>
          </w:rPr>
          <w:t xml:space="preserve">2</w:t>
        </w:r>
      </w:hyperlink>
      <w:r>
        <w:rPr>
          <w:lang w:val="en"/>
        </w:rPr>
        <w:t xml:space="preserve">. Beyond these, an asset account records the biomass concept, the assessment vintage and the valuation method; every other setting is in the parameter register (Section 3.3). Where an SDG indicator is derived from the account, the validation and quality fields of its metadata (4.d and 4.i to 4.k) are completed from the same record</w:t>
      </w:r>
      <w:hyperlink w:anchor="user-content-fn-14">
        <w:r>
          <w:rPr>
            <w:rStyle w:val="Hyperlink"/>
            <w:vertAlign w:val="superscript"/>
            <w:lang w:val="en"/>
          </w:rPr>
          <w:t xml:space="preserve">14</w:t>
        </w:r>
      </w:hyperlink>
      <w:r>
        <w:rPr>
          <w:lang w:val="en"/>
        </w:rPr>
        <w:t xml:space="preserve">.</w:t>
      </w:r>
    </w:p>
    <w:p>
      <w:pPr>
        <w:pStyle w:val="BodyText"/>
      </w:pPr>
      <w:r>
        <w:rPr>
          <w:lang w:val="en"/>
        </w:rPr>
        <w:t xml:space="preserve">¶3</w:t>
      </w:r>
      <w:r>
        <w:rPr>
          <w:lang w:val="en"/>
        </w:rPr>
        <w:t xml:space="preserve"> </w:t>
      </w:r>
      <w:r>
        <w:rPr>
          <w:bCs/>
          <w:b/>
          <w:lang w:val="en"/>
        </w:rPr>
        <w:t xml:space="preserve">AQ-RV3: archive.</w:t>
      </w:r>
      <w:r>
        <w:rPr>
          <w:lang w:val="en"/>
        </w:rPr>
        <w:t xml:space="preserve"> </w:t>
      </w:r>
      <w:r>
        <w:rPr>
          <w:lang w:val="en"/>
        </w:rPr>
        <w:t xml:space="preserve">Inputs, version-controlled code, the parameter register, the QC log and the outputs are archived together, sufficient for anyone to reproduce every published cell</w:t>
      </w:r>
      <w:hyperlink w:anchor="user-content-fn-1">
        <w:r>
          <w:rPr>
            <w:rStyle w:val="Hyperlink"/>
            <w:vertAlign w:val="superscript"/>
            <w:lang w:val="en"/>
          </w:rPr>
          <w:t xml:space="preserve">1</w:t>
        </w:r>
      </w:hyperlink>
      <w:r>
        <w:rPr>
          <w:lang w:val="en"/>
        </w:rPr>
        <w:t xml:space="preserve">,</w:t>
      </w:r>
      <w:r>
        <w:rPr>
          <w:lang w:val="en"/>
        </w:rPr>
        <w:t xml:space="preserve"> </w:t>
      </w:r>
      <w:hyperlink w:anchor="user-content-fn-12">
        <w:r>
          <w:rPr>
            <w:rStyle w:val="Hyperlink"/>
            <w:vertAlign w:val="superscript"/>
            <w:lang w:val="en"/>
          </w:rPr>
          <w:t xml:space="preserve">15</w:t>
        </w:r>
      </w:hyperlink>
      <w:r>
        <w:rPr>
          <w:lang w:val="en"/>
        </w:rPr>
        <w:t xml:space="preserve">.</w:t>
      </w:r>
    </w:p>
    <w:p>
      <w:pPr>
        <w:pStyle w:val="BodyText"/>
      </w:pPr>
      <w:r>
        <w:rPr>
          <w:lang w:val="en"/>
        </w:rPr>
        <w:t xml:space="preserve">¶4</w:t>
      </w:r>
      <w:r>
        <w:rPr>
          <w:lang w:val="en"/>
        </w:rPr>
        <w:t xml:space="preserve"> </w:t>
      </w:r>
      <w:r>
        <w:rPr>
          <w:bCs/>
          <w:b/>
          <w:lang w:val="en"/>
        </w:rPr>
        <w:t xml:space="preserve">AQ-RV4: release gate.</w:t>
      </w:r>
      <w:r>
        <w:rPr>
          <w:lang w:val="en"/>
        </w:rPr>
        <w:t xml:space="preserve"> </w:t>
      </w:r>
      <w:r>
        <w:rPr>
          <w:lang w:val="en"/>
        </w:rPr>
        <w:t xml:space="preserve">The account is released when four conditions hold:</w:t>
      </w:r>
    </w:p>
    <w:p>
      <w:pPr>
        <w:numPr>
          <w:ilvl w:val="0"/>
          <w:numId w:val="1010"/>
        </w:numPr>
        <w:pStyle w:val="Compact"/>
      </w:pPr>
      <w:r>
        <w:rPr>
          <w:lang w:val="en"/>
        </w:rPr>
        <w:t xml:space="preserve">¶5</w:t>
      </w:r>
      <w:r>
        <w:rPr>
          <w:lang w:val="en"/>
        </w:rPr>
        <w:t xml:space="preserve"> </w:t>
      </w:r>
      <w:r>
        <w:rPr>
          <w:lang w:val="en"/>
        </w:rPr>
        <w:t xml:space="preserve">no blocking issue is open in the issue register;</w:t>
      </w:r>
    </w:p>
    <w:p>
      <w:pPr>
        <w:numPr>
          <w:ilvl w:val="0"/>
          <w:numId w:val="1010"/>
        </w:numPr>
        <w:pStyle w:val="Compact"/>
      </w:pPr>
      <w:r>
        <w:rPr>
          <w:lang w:val="en"/>
        </w:rPr>
        <w:t xml:space="preserve">¶6</w:t>
      </w:r>
      <w:r>
        <w:rPr>
          <w:lang w:val="en"/>
        </w:rPr>
        <w:t xml:space="preserve"> </w:t>
      </w:r>
      <w:r>
        <w:rPr>
          <w:lang w:val="en"/>
        </w:rPr>
        <w:t xml:space="preserve">no P-flagged value appears in headline text;</w:t>
      </w:r>
    </w:p>
    <w:p>
      <w:pPr>
        <w:numPr>
          <w:ilvl w:val="0"/>
          <w:numId w:val="1010"/>
        </w:numPr>
        <w:pStyle w:val="Compact"/>
      </w:pPr>
      <w:r>
        <w:rPr>
          <w:lang w:val="en"/>
        </w:rPr>
        <w:t xml:space="preserve">¶7</w:t>
      </w:r>
      <w:r>
        <w:rPr>
          <w:lang w:val="en"/>
        </w:rPr>
        <w:t xml:space="preserve"> </w:t>
      </w:r>
      <w:r>
        <w:rPr>
          <w:lang w:val="en"/>
        </w:rPr>
        <w:t xml:space="preserve">the statistical owner has signed off;</w:t>
      </w:r>
    </w:p>
    <w:p>
      <w:pPr>
        <w:numPr>
          <w:ilvl w:val="0"/>
          <w:numId w:val="1010"/>
        </w:numPr>
        <w:pStyle w:val="Compact"/>
      </w:pPr>
      <w:r>
        <w:rPr>
          <w:lang w:val="en"/>
        </w:rPr>
        <w:t xml:space="preserve">¶8</w:t>
      </w:r>
      <w:r>
        <w:rPr>
          <w:lang w:val="en"/>
        </w:rPr>
        <w:t xml:space="preserve"> </w:t>
      </w:r>
      <w:r>
        <w:rPr>
          <w:lang w:val="en"/>
        </w:rPr>
        <w:t xml:space="preserve">traditional knowledge is released only with the community authority’s written approval.</w:t>
      </w:r>
    </w:p>
    <w:p>
      <w:pPr>
        <w:pStyle w:val="FirstParagraph"/>
      </w:pPr>
      <w:r>
        <w:rPr>
          <w:lang w:val="en"/>
        </w:rPr>
        <w:t xml:space="preserve">¶9</w:t>
      </w:r>
      <w:r>
        <w:rPr>
          <w:lang w:val="en"/>
        </w:rPr>
        <w:t xml:space="preserve"> </w:t>
      </w:r>
      <w:r>
        <w:rPr>
          <w:lang w:val="en"/>
        </w:rPr>
        <w:t xml:space="preserve">Initial monetary releases are labelled experimental (AQ-EV4).</w:t>
      </w:r>
    </w:p>
    <w:p>
      <w:pPr>
        <w:pStyle w:val="BodyText"/>
      </w:pPr>
      <w:r>
        <w:rPr>
          <w:lang w:val="en"/>
        </w:rPr>
        <w:t xml:space="preserve">¶10</w:t>
      </w:r>
      <w:r>
        <w:rPr>
          <w:lang w:val="en"/>
        </w:rPr>
        <w:t xml:space="preserve"> </w:t>
      </w:r>
      <w:r>
        <w:rPr>
          <w:bCs/>
          <w:b/>
          <w:lang w:val="en"/>
        </w:rPr>
        <w:t xml:space="preserve">The evidence pack.</w:t>
      </w:r>
      <w:r>
        <w:rPr>
          <w:lang w:val="en"/>
        </w:rPr>
        <w:t xml:space="preserve"> </w:t>
      </w:r>
      <w:r>
        <w:rPr>
          <w:lang w:val="en"/>
        </w:rPr>
        <w:t xml:space="preserve">Every account keeps a generic evidence pack: the scope and boundary statement (accounting area, period, boundaries, residence or territory, BSU level); the QA/QC plan with its tolerance register; the source register (every source, its owner, licence, date, method and coverage); and the archive manifest. Table 3.16.8 lists what an asset account adds; each item is produced during compilation, and none is written for the review.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Item</w:t>
            </w:r>
          </w:p>
        </w:tc>
        <w:tc>
          <w:tcPr/>
          <w:p>
            <w:pPr>
              <w:pStyle w:val="Compact"/>
              <w:jc w:val="left"/>
            </w:pPr>
            <w:r>
              <w:rPr>
                <w:lang w:val="en"/>
              </w:rPr>
              <w:t xml:space="preserve">Contents</w:t>
            </w:r>
          </w:p>
        </w:tc>
      </w:tr>
      <w:tr>
        <w:tc>
          <w:tcPr/>
          <w:p>
            <w:pPr>
              <w:pStyle w:val="Compact"/>
              <w:jc w:val="left"/>
            </w:pPr>
            <w:r>
              <w:rPr>
                <w:lang w:val="en"/>
              </w:rPr>
              <w:t xml:space="preserve">Balanced workbook</w:t>
            </w:r>
          </w:p>
        </w:tc>
        <w:tc>
          <w:tcPr/>
          <w:p>
            <w:pPr>
              <w:pStyle w:val="Compact"/>
              <w:jc w:val="left"/>
            </w:pPr>
            <w:r>
              <w:rPr>
                <w:lang w:val="en"/>
              </w:rPr>
              <w:t xml:space="preserve">An identity column on every table; opening = previous closing</w:t>
            </w:r>
          </w:p>
        </w:tc>
      </w:tr>
      <w:tr>
        <w:tc>
          <w:tcPr/>
          <w:p>
            <w:pPr>
              <w:pStyle w:val="Compact"/>
              <w:jc w:val="left"/>
            </w:pPr>
            <w:r>
              <w:rPr>
                <w:lang w:val="en"/>
              </w:rPr>
              <w:t xml:space="preserve">Depletion and degradation trace sheet</w:t>
            </w:r>
          </w:p>
        </w:tc>
        <w:tc>
          <w:tcPr/>
          <w:p>
            <w:pPr>
              <w:pStyle w:val="Compact"/>
              <w:jc w:val="left"/>
            </w:pPr>
            <w:r>
              <w:rPr>
                <w:lang w:val="en"/>
              </w:rPr>
              <w:t xml:space="preserve">AQ-PM3 and AQ-PM4, cell by cell</w:t>
            </w:r>
          </w:p>
        </w:tc>
      </w:tr>
      <w:tr>
        <w:tc>
          <w:tcPr/>
          <w:p>
            <w:pPr>
              <w:pStyle w:val="Compact"/>
              <w:jc w:val="left"/>
            </w:pPr>
            <w:r>
              <w:rPr>
                <w:lang w:val="en"/>
              </w:rPr>
              <w:t xml:space="preserve">Constant-price view</w:t>
            </w:r>
          </w:p>
        </w:tc>
        <w:tc>
          <w:tcPr/>
          <w:p>
            <w:pPr>
              <w:pStyle w:val="Compact"/>
              <w:jc w:val="left"/>
            </w:pPr>
            <w:r>
              <w:rPr>
                <w:lang w:val="en"/>
              </w:rPr>
              <w:t xml:space="preserve">AQ-PM5</w:t>
            </w:r>
          </w:p>
        </w:tc>
      </w:tr>
      <w:tr>
        <w:tc>
          <w:tcPr/>
          <w:p>
            <w:pPr>
              <w:pStyle w:val="Compact"/>
              <w:jc w:val="left"/>
            </w:pPr>
            <w:r>
              <w:rPr>
                <w:lang w:val="en"/>
              </w:rPr>
              <w:t xml:space="preserve">Valuation parameter register</w:t>
            </w:r>
          </w:p>
        </w:tc>
        <w:tc>
          <w:tcPr/>
          <w:p>
            <w:pPr>
              <w:pStyle w:val="Compact"/>
              <w:jc w:val="left"/>
            </w:pPr>
            <w:r>
              <w:rPr>
                <w:lang w:val="en"/>
              </w:rPr>
              <w:t xml:space="preserve">Every parameter with its source, vintage and owner</w:t>
            </w:r>
          </w:p>
        </w:tc>
      </w:tr>
      <w:tr>
        <w:tc>
          <w:tcPr/>
          <w:p>
            <w:pPr>
              <w:pStyle w:val="Compact"/>
              <w:jc w:val="left"/>
            </w:pPr>
            <w:r>
              <w:rPr>
                <w:lang w:val="en"/>
              </w:rPr>
              <w:t xml:space="preserve">Accuracy report</w:t>
            </w:r>
          </w:p>
        </w:tc>
        <w:tc>
          <w:tcPr/>
          <w:p>
            <w:pPr>
              <w:pStyle w:val="Compact"/>
              <w:jc w:val="left"/>
            </w:pPr>
            <w:r>
              <w:rPr>
                <w:lang w:val="en"/>
              </w:rPr>
              <w:t xml:space="preserve">AQ-EX1 and AQ-EX2</w:t>
            </w:r>
          </w:p>
        </w:tc>
      </w:tr>
      <w:tr>
        <w:tc>
          <w:tcPr/>
          <w:p>
            <w:pPr>
              <w:pStyle w:val="Compact"/>
              <w:jc w:val="left"/>
            </w:pPr>
            <w:r>
              <w:rPr>
                <w:lang w:val="en"/>
              </w:rPr>
              <w:t xml:space="preserve">Stock-assessment acceptance note</w:t>
            </w:r>
          </w:p>
        </w:tc>
        <w:tc>
          <w:tcPr/>
          <w:p>
            <w:pPr>
              <w:pStyle w:val="Compact"/>
              <w:jc w:val="left"/>
            </w:pPr>
            <w:r>
              <w:rPr>
                <w:lang w:val="en"/>
              </w:rPr>
              <w:t xml:space="preserve">AQ-FS1 to AQ-FS6</w:t>
            </w:r>
          </w:p>
        </w:tc>
      </w:tr>
      <w:tr>
        <w:tc>
          <w:tcPr/>
          <w:p>
            <w:pPr>
              <w:pStyle w:val="Compact"/>
              <w:jc w:val="left"/>
            </w:pPr>
            <w:r>
              <w:rPr>
                <w:lang w:val="en"/>
              </w:rPr>
              <w:t xml:space="preserve">Reconciliation and verification log</w:t>
            </w:r>
          </w:p>
        </w:tc>
        <w:tc>
          <w:tcPr/>
          <w:p>
            <w:pPr>
              <w:pStyle w:val="Compact"/>
              <w:jc w:val="left"/>
            </w:pPr>
            <w:r>
              <w:rPr>
                <w:lang w:val="en"/>
              </w:rPr>
              <w:t xml:space="preserve">Table 3.16.6</w:t>
            </w:r>
          </w:p>
        </w:tc>
      </w:tr>
      <w:tr>
        <w:tc>
          <w:tcPr/>
          <w:p>
            <w:pPr>
              <w:pStyle w:val="Compact"/>
              <w:jc w:val="left"/>
            </w:pPr>
            <w:r>
              <w:rPr>
                <w:lang w:val="en"/>
              </w:rPr>
              <w:t xml:space="preserve">Flagged table set</w:t>
            </w:r>
          </w:p>
        </w:tc>
        <w:tc>
          <w:tcPr/>
          <w:p>
            <w:pPr>
              <w:pStyle w:val="Compact"/>
              <w:jc w:val="left"/>
            </w:pPr>
            <w:r>
              <w:rPr>
                <w:lang w:val="en"/>
              </w:rPr>
              <w:t xml:space="preserve">A grade and status on every cell; the lowest-flag derivation for aggregates</w:t>
            </w:r>
          </w:p>
        </w:tc>
      </w:tr>
      <w:tr>
        <w:tc>
          <w:tcPr/>
          <w:p>
            <w:pPr>
              <w:pStyle w:val="Compact"/>
              <w:jc w:val="left"/>
            </w:pPr>
            <w:r>
              <w:rPr>
                <w:lang w:val="en"/>
              </w:rPr>
              <w:t xml:space="preserve">Uncertainty annex</w:t>
            </w:r>
          </w:p>
        </w:tc>
        <w:tc>
          <w:tcPr/>
          <w:p>
            <w:pPr>
              <w:pStyle w:val="Compact"/>
              <w:jc w:val="left"/>
            </w:pPr>
            <w:r>
              <w:rPr>
                <w:lang w:val="en"/>
              </w:rPr>
              <w:t xml:space="preserve">Method, ranges and sensitivity grids</w:t>
            </w:r>
          </w:p>
        </w:tc>
      </w:tr>
      <w:tr>
        <w:tc>
          <w:tcPr/>
          <w:p>
            <w:pPr>
              <w:pStyle w:val="Compact"/>
              <w:jc w:val="left"/>
            </w:pPr>
            <w:r>
              <w:rPr>
                <w:lang w:val="en"/>
              </w:rPr>
              <w:t xml:space="preserve">Revision and break log</w:t>
            </w:r>
          </w:p>
        </w:tc>
        <w:tc>
          <w:tcPr/>
          <w:p>
            <w:pPr>
              <w:pStyle w:val="Compact"/>
              <w:jc w:val="left"/>
            </w:pPr>
            <w:r>
              <w:rPr>
                <w:lang w:val="en"/>
              </w:rPr>
              <w:t xml:space="preserve">Revision class, back-casts, breaks</w:t>
            </w:r>
          </w:p>
        </w:tc>
      </w:tr>
      <w:tr>
        <w:tc>
          <w:tcPr/>
          <w:p>
            <w:pPr>
              <w:pStyle w:val="Compact"/>
              <w:jc w:val="left"/>
            </w:pPr>
            <w:r>
              <w:rPr>
                <w:lang w:val="en"/>
              </w:rPr>
              <w:t xml:space="preserve">Review record</w:t>
            </w:r>
          </w:p>
        </w:tc>
        <w:tc>
          <w:tcPr/>
          <w:p>
            <w:pPr>
              <w:pStyle w:val="Compact"/>
              <w:jc w:val="left"/>
            </w:pPr>
            <w:r>
              <w:rPr>
                <w:lang w:val="en"/>
              </w:rPr>
              <w:t xml:space="preserve">Reviewer, sample recomputed, findings, dispositions</w:t>
            </w:r>
          </w:p>
        </w:tc>
      </w:tr>
    </w:tbl>
    <w:p>
      <w:pPr>
        <w:pStyle w:val="BodyText"/>
      </w:pPr>
      <w:r>
        <w:rPr>
          <w:lang w:val="en"/>
        </w:rPr>
        <w:t xml:space="preserve">¶11</w:t>
      </w:r>
      <w:r>
        <w:rPr>
          <w:lang w:val="en"/>
        </w:rPr>
        <w:t xml:space="preserve"> </w:t>
      </w:r>
      <w:r>
        <w:rPr>
          <w:iCs/>
          <w:i/>
          <w:lang w:val="en"/>
        </w:rPr>
        <w:t xml:space="preserve">Table 3.16.8: What an asset account adds to the generic evidence pack.</w:t>
      </w:r>
    </w:p>
    <w:bookmarkStart w:id="121" w:name="X5ab4ac6bcdca0cd5aa0d606581c143889259481"/>
    <w:p>
      <w:pPr>
        <w:pStyle w:val="Heading3"/>
      </w:pPr>
      <w:r>
        <w:rPr>
          <w:lang w:val="en"/>
        </w:rPr>
        <w:t xml:space="preserve">3.11</w:t>
      </w:r>
      <w:r>
        <w:rPr>
          <w:lang w:val="en"/>
        </w:rPr>
        <w:t xml:space="preserve"> </w:t>
      </w:r>
      <w:r>
        <w:rPr>
          <w:lang w:val="en"/>
        </w:rPr>
        <w:t xml:space="preserve">Limitations</w:t>
      </w:r>
    </w:p>
    <w:p>
      <w:pPr>
        <w:pStyle w:val="FirstParagraph"/>
      </w:pPr>
      <w:hyperlink w:anchor="X5ab4ac6bcdca0cd5aa0d606581c143889259481">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Limitations”</w:t>
        </w:r>
      </w:hyperlink>
    </w:p>
    <w:bookmarkEnd w:id="121"/>
    <w:p>
      <w:pPr>
        <w:pStyle w:val="BodyText"/>
      </w:pPr>
      <w:r>
        <w:rPr>
          <w:lang w:val="en"/>
        </w:rPr>
        <w:t xml:space="preserve">¶1</w:t>
      </w:r>
      <w:r>
        <w:rPr>
          <w:lang w:val="en"/>
        </w:rPr>
        <w:t xml:space="preserve"> </w:t>
      </w:r>
      <w:r>
        <w:rPr>
          <w:lang w:val="en"/>
        </w:rPr>
        <w:t xml:space="preserve">Four limits apply to everything above. First, a future SEEA quality framework may supersede parts of this Circular (Section 3.1). Second, the tolerances here are indicative. Several are GOAP proposals, not SEEA rules: the 0.20 decline and 70% share of the linear shortcut, the 80% and 75% accuracy thresholds, and the interim grade thresholds. Third, the monetary ecosystem checks inherit the status the UN Statistical Commission gave SEEA EA chapters 8 to 11: internationally recognised statistical principles and recommendations, and not a full statistical standard</w:t>
      </w:r>
      <w:hyperlink w:anchor="user-content-fn-15">
        <w:r>
          <w:rPr>
            <w:rStyle w:val="Hyperlink"/>
            <w:vertAlign w:val="superscript"/>
            <w:lang w:val="en"/>
          </w:rPr>
          <w:t xml:space="preserve">16</w:t>
        </w:r>
      </w:hyperlink>
      <w:r>
        <w:rPr>
          <w:lang w:val="en"/>
        </w:rPr>
        <w:t xml:space="preserve">. Fourth, coherence is not validity. An account can pass every check here and still rest on an ecological model that is wrong, and only verification against independent observation, repeated over cycles, tests that.</w:t>
      </w:r>
    </w:p>
    <w:bookmarkStart w:id="124"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2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p>
      <w:pPr>
        <w:pStyle w:val="BodyText"/>
      </w:pPr>
      <w:r>
        <w:rPr>
          <w:lang w:val="en"/>
        </w:rPr>
        <w:t xml:space="preserve">¶3</w:t>
      </w:r>
      <w:r>
        <w:rPr>
          <w:lang w:val="en"/>
        </w:rPr>
        <w:t xml:space="preserve"> </w:t>
      </w:r>
      <w:r>
        <w:rPr>
          <w:lang w:val="en"/>
        </w:rPr>
        <w:t xml:space="preserve">The structure of this Circular draws on the IPCC inventory guidelines’ treatment of quality assurance, quality control and verification, on the UN National Quality Assurance Frameworks Manual, and on the IMF Data Quality Assessment Framework.</w:t>
      </w:r>
    </w:p>
    <w:bookmarkStart w:id="127"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27"/>
    <w:p>
      <w:pPr>
        <w:pStyle w:val="BodyText"/>
      </w:pPr>
      <w:bookmarkStart w:id="128" w:name="footnotes-label"/>
      <w:r>
        <w:rPr>
          <w:lang w:val="en"/>
        </w:rPr>
        <w:t xml:space="preserve">Footnotes</w:t>
      </w:r>
      <w:bookmarkEnd w:id="128"/>
    </w:p>
    <w:p>
      <w:pPr>
        <w:numPr>
          <w:ilvl w:val="0"/>
          <w:numId w:val="1011"/>
        </w:numPr>
      </w:pPr>
      <w:bookmarkStart w:id="129" w:name="user-content-fn-1"/>
      <w:r>
        <w:rPr>
          <w:lang w:val="en"/>
        </w:rPr>
        <w:t xml:space="preserve">¶1</w:t>
      </w:r>
      <w:r>
        <w:rPr>
          <w:lang w:val="en"/>
        </w:rPr>
        <w:t xml:space="preserve"> </w:t>
      </w:r>
      <w:bookmarkEnd w:id="129"/>
    </w:p>
    <w:p>
      <w:pPr>
        <w:numPr>
          <w:ilvl w:val="0"/>
          <w:numId w:val="1000"/>
        </w:numPr>
      </w:pPr>
      <w:r>
        <w:rPr>
          <w:lang w:val="en"/>
        </w:rPr>
        <w:t xml:space="preserve">IPCC (2006).</w:t>
      </w:r>
      <w:r>
        <w:rPr>
          <w:lang w:val="en"/>
        </w:rPr>
        <w:t xml:space="preserve"> </w:t>
      </w:r>
      <w:r>
        <w:rPr>
          <w:iCs/>
          <w:i/>
          <w:lang w:val="en"/>
        </w:rPr>
        <w:t xml:space="preserve">2006 IPCC Guidelines for National Greenhouse Gas Inventories</w:t>
      </w:r>
      <w:r>
        <w:rPr>
          <w:lang w:val="en"/>
        </w:rPr>
        <w:t xml:space="preserve">, Volume 1, Chapter 6: Quality Assurance/Quality Control and Verification. Box 6.1 (definitions), Section 6.4 (roles, including the QA/QC coordinator), Section 6.5 (QA/QC plan and data-quality objectives), Section 6.6 and Table 6.1 (general QC procedures, including trend checks and sampling across years), Section 6.8 (QA by reviewers not involved in compilation), Section 6.10 (verification), Section 6.11.1 (internal documentation and archiving). IGES, Hayama.</w:t>
      </w:r>
      <w:r>
        <w:rPr>
          <w:lang w:val="en"/>
        </w:rPr>
        <w:t xml:space="preserve"> </w:t>
      </w:r>
      <w:hyperlink r:id="rId130">
        <w:r>
          <w:rPr>
            <w:rStyle w:val="Hyperlink"/>
            <w:lang w:val="en"/>
          </w:rPr>
          <w:t xml:space="preserve">https://www.ipcc-nggip.iges.or.jp/public/2006gl/pdf/1_Volume1/V1_6_Ch6_QA_QC.pdf</w:t>
        </w:r>
      </w:hyperlink>
      <w:r>
        <w:rPr>
          <w:lang w:val="en"/>
        </w:rPr>
        <w:t xml:space="preserve"> </w:t>
      </w:r>
      <w:hyperlink w:anchor="user-content-fnref-1">
        <w:r>
          <w:rPr>
            <w:rStyle w:val="Hyperlink"/>
            <w:lang w:val="en"/>
          </w:rPr>
          <w:t xml:space="preserve">↩</w:t>
        </w:r>
      </w:hyperlink>
      <w:r>
        <w:rPr>
          <w:lang w:val="en"/>
        </w:rPr>
        <w:t xml:space="preserve"> </w:t>
      </w:r>
      <w:hyperlink w:anchor="user-content-fnref-1-2">
        <w:r>
          <w:rPr>
            <w:rStyle w:val="Hyperlink"/>
            <w:lang w:val="en"/>
          </w:rPr>
          <w:t xml:space="preserve">↩</w:t>
        </w:r>
        <w:r>
          <w:rPr>
            <w:rStyle w:val="Hyperlink"/>
            <w:vertAlign w:val="superscript"/>
            <w:lang w:val="en"/>
          </w:rPr>
          <w:t xml:space="preserve">2</w:t>
        </w:r>
      </w:hyperlink>
      <w:r>
        <w:rPr>
          <w:lang w:val="en"/>
        </w:rPr>
        <w:t xml:space="preserve"> </w:t>
      </w:r>
      <w:hyperlink w:anchor="user-content-fnref-1-3">
        <w:r>
          <w:rPr>
            <w:rStyle w:val="Hyperlink"/>
            <w:lang w:val="en"/>
          </w:rPr>
          <w:t xml:space="preserve">↩</w:t>
        </w:r>
        <w:r>
          <w:rPr>
            <w:rStyle w:val="Hyperlink"/>
            <w:vertAlign w:val="superscript"/>
            <w:lang w:val="en"/>
          </w:rPr>
          <w:t xml:space="preserve">3</w:t>
        </w:r>
      </w:hyperlink>
      <w:r>
        <w:rPr>
          <w:lang w:val="en"/>
        </w:rPr>
        <w:t xml:space="preserve"> </w:t>
      </w:r>
      <w:hyperlink w:anchor="user-content-fnref-1-4">
        <w:r>
          <w:rPr>
            <w:rStyle w:val="Hyperlink"/>
            <w:lang w:val="en"/>
          </w:rPr>
          <w:t xml:space="preserve">↩</w:t>
        </w:r>
        <w:r>
          <w:rPr>
            <w:rStyle w:val="Hyperlink"/>
            <w:vertAlign w:val="superscript"/>
            <w:lang w:val="en"/>
          </w:rPr>
          <w:t xml:space="preserve">4</w:t>
        </w:r>
      </w:hyperlink>
      <w:r>
        <w:rPr>
          <w:lang w:val="en"/>
        </w:rPr>
        <w:t xml:space="preserve"> </w:t>
      </w:r>
      <w:hyperlink w:anchor="user-content-fnref-1-5">
        <w:r>
          <w:rPr>
            <w:rStyle w:val="Hyperlink"/>
            <w:lang w:val="en"/>
          </w:rPr>
          <w:t xml:space="preserve">↩</w:t>
        </w:r>
        <w:r>
          <w:rPr>
            <w:rStyle w:val="Hyperlink"/>
            <w:vertAlign w:val="superscript"/>
            <w:lang w:val="en"/>
          </w:rPr>
          <w:t xml:space="preserve">5</w:t>
        </w:r>
      </w:hyperlink>
      <w:r>
        <w:rPr>
          <w:lang w:val="en"/>
        </w:rPr>
        <w:t xml:space="preserve"> </w:t>
      </w:r>
      <w:hyperlink w:anchor="user-content-fnref-1-6">
        <w:r>
          <w:rPr>
            <w:rStyle w:val="Hyperlink"/>
            <w:lang w:val="en"/>
          </w:rPr>
          <w:t xml:space="preserve">↩</w:t>
        </w:r>
        <w:r>
          <w:rPr>
            <w:rStyle w:val="Hyperlink"/>
            <w:vertAlign w:val="superscript"/>
            <w:lang w:val="en"/>
          </w:rPr>
          <w:t xml:space="preserve">6</w:t>
        </w:r>
      </w:hyperlink>
      <w:r>
        <w:rPr>
          <w:lang w:val="en"/>
        </w:rPr>
        <w:t xml:space="preserve"> </w:t>
      </w:r>
      <w:hyperlink w:anchor="user-content-fnref-1-7">
        <w:r>
          <w:rPr>
            <w:rStyle w:val="Hyperlink"/>
            <w:lang w:val="en"/>
          </w:rPr>
          <w:t xml:space="preserve">↩</w:t>
        </w:r>
        <w:r>
          <w:rPr>
            <w:rStyle w:val="Hyperlink"/>
            <w:vertAlign w:val="superscript"/>
            <w:lang w:val="en"/>
          </w:rPr>
          <w:t xml:space="preserve">7</w:t>
        </w:r>
      </w:hyperlink>
      <w:r>
        <w:rPr>
          <w:lang w:val="en"/>
        </w:rPr>
        <w:t xml:space="preserve"> </w:t>
      </w:r>
      <w:hyperlink w:anchor="user-content-fnref-1-8">
        <w:r>
          <w:rPr>
            <w:rStyle w:val="Hyperlink"/>
            <w:lang w:val="en"/>
          </w:rPr>
          <w:t xml:space="preserve">↩</w:t>
        </w:r>
        <w:r>
          <w:rPr>
            <w:rStyle w:val="Hyperlink"/>
            <w:vertAlign w:val="superscript"/>
            <w:lang w:val="en"/>
          </w:rPr>
          <w:t xml:space="preserve">8</w:t>
        </w:r>
      </w:hyperlink>
      <w:r>
        <w:rPr>
          <w:lang w:val="en"/>
        </w:rPr>
        <w:t xml:space="preserve"> </w:t>
      </w:r>
      <w:hyperlink w:anchor="user-content-fnref-1-9">
        <w:r>
          <w:rPr>
            <w:rStyle w:val="Hyperlink"/>
            <w:lang w:val="en"/>
          </w:rPr>
          <w:t xml:space="preserve">↩</w:t>
        </w:r>
        <w:r>
          <w:rPr>
            <w:rStyle w:val="Hyperlink"/>
            <w:vertAlign w:val="superscript"/>
            <w:lang w:val="en"/>
          </w:rPr>
          <w:t xml:space="preserve">9</w:t>
        </w:r>
      </w:hyperlink>
      <w:r>
        <w:rPr>
          <w:lang w:val="en"/>
        </w:rPr>
        <w:t xml:space="preserve"> </w:t>
      </w:r>
      <w:hyperlink w:anchor="user-content-fnref-1-10">
        <w:r>
          <w:rPr>
            <w:rStyle w:val="Hyperlink"/>
            <w:lang w:val="en"/>
          </w:rPr>
          <w:t xml:space="preserve">↩</w:t>
        </w:r>
        <w:r>
          <w:rPr>
            <w:rStyle w:val="Hyperlink"/>
            <w:vertAlign w:val="superscript"/>
            <w:lang w:val="en"/>
          </w:rPr>
          <w:t xml:space="preserve">10</w:t>
        </w:r>
      </w:hyperlink>
    </w:p>
    <w:p>
      <w:pPr>
        <w:numPr>
          <w:ilvl w:val="0"/>
          <w:numId w:val="1011"/>
        </w:numPr>
      </w:pPr>
      <w:bookmarkStart w:id="131" w:name="user-content-fn-2"/>
      <w:r>
        <w:rPr>
          <w:lang w:val="en"/>
        </w:rPr>
        <w:t xml:space="preserve">¶2</w:t>
      </w:r>
      <w:r>
        <w:rPr>
          <w:lang w:val="en"/>
        </w:rPr>
        <w:t xml:space="preserve"> </w:t>
      </w:r>
      <w:bookmarkEnd w:id="131"/>
    </w:p>
    <w:p>
      <w:pPr>
        <w:numPr>
          <w:ilvl w:val="0"/>
          <w:numId w:val="1000"/>
        </w:numPr>
      </w:pPr>
      <w:r>
        <w:rPr>
          <w:lang w:val="en"/>
        </w:rPr>
        <w:t xml:space="preserve">United Nations et al. (2024).</w:t>
      </w:r>
      <w:r>
        <w:rPr>
          <w:lang w:val="en"/>
        </w:rPr>
        <w:t xml:space="preserve"> </w:t>
      </w:r>
      <w:r>
        <w:rPr>
          <w:iCs/>
          <w:i/>
          <w:lang w:val="en"/>
        </w:rPr>
        <w:t xml:space="preserve">System of Environmental-Economic Accounting — Ecosystem Accounting</w:t>
      </w:r>
      <w:r>
        <w:rPr>
          <w:lang w:val="en"/>
        </w:rPr>
        <w:t xml:space="preserve">, Statistical Papers Series F No. 124. Paras 2.86—2.89 (data quality; para 2.89 refers to the IMF DQAF), 2.90—2.94 (four categories of uncertainty), 2.95 (documentation of scope, definitions, methods and assumptions); the Section D overview, which suggests labelling initial monetary releases as experimental; and the research and development agenda, which lists data quality assessment frameworks as future work. Paragraph numbers are the same in the 2021 white-cover edition.</w:t>
      </w:r>
      <w:r>
        <w:rPr>
          <w:lang w:val="en"/>
        </w:rPr>
        <w:t xml:space="preserve"> </w:t>
      </w:r>
      <w:hyperlink w:anchor="user-content-fnref-2">
        <w:r>
          <w:rPr>
            <w:rStyle w:val="Hyperlink"/>
            <w:lang w:val="en"/>
          </w:rPr>
          <w:t xml:space="preserve">↩</w:t>
        </w:r>
      </w:hyperlink>
      <w:r>
        <w:rPr>
          <w:lang w:val="en"/>
        </w:rPr>
        <w:t xml:space="preserve"> </w:t>
      </w:r>
      <w:hyperlink w:anchor="user-content-fnref-2-2">
        <w:r>
          <w:rPr>
            <w:rStyle w:val="Hyperlink"/>
            <w:lang w:val="en"/>
          </w:rPr>
          <w:t xml:space="preserve">↩</w:t>
        </w:r>
        <w:r>
          <w:rPr>
            <w:rStyle w:val="Hyperlink"/>
            <w:vertAlign w:val="superscript"/>
            <w:lang w:val="en"/>
          </w:rPr>
          <w:t xml:space="preserve">2</w:t>
        </w:r>
      </w:hyperlink>
      <w:r>
        <w:rPr>
          <w:lang w:val="en"/>
        </w:rPr>
        <w:t xml:space="preserve"> </w:t>
      </w:r>
      <w:hyperlink w:anchor="user-content-fnref-2-3">
        <w:r>
          <w:rPr>
            <w:rStyle w:val="Hyperlink"/>
            <w:lang w:val="en"/>
          </w:rPr>
          <w:t xml:space="preserve">↩</w:t>
        </w:r>
        <w:r>
          <w:rPr>
            <w:rStyle w:val="Hyperlink"/>
            <w:vertAlign w:val="superscript"/>
            <w:lang w:val="en"/>
          </w:rPr>
          <w:t xml:space="preserve">3</w:t>
        </w:r>
      </w:hyperlink>
      <w:r>
        <w:rPr>
          <w:lang w:val="en"/>
        </w:rPr>
        <w:t xml:space="preserve"> </w:t>
      </w:r>
      <w:hyperlink w:anchor="user-content-fnref-2-4">
        <w:r>
          <w:rPr>
            <w:rStyle w:val="Hyperlink"/>
            <w:lang w:val="en"/>
          </w:rPr>
          <w:t xml:space="preserve">↩</w:t>
        </w:r>
        <w:r>
          <w:rPr>
            <w:rStyle w:val="Hyperlink"/>
            <w:vertAlign w:val="superscript"/>
            <w:lang w:val="en"/>
          </w:rPr>
          <w:t xml:space="preserve">4</w:t>
        </w:r>
      </w:hyperlink>
    </w:p>
    <w:p>
      <w:pPr>
        <w:numPr>
          <w:ilvl w:val="0"/>
          <w:numId w:val="1011"/>
        </w:numPr>
      </w:pPr>
      <w:bookmarkStart w:id="132" w:name="user-content-fn-3"/>
      <w:r>
        <w:rPr>
          <w:lang w:val="en"/>
        </w:rPr>
        <w:t xml:space="preserve">¶3</w:t>
      </w:r>
      <w:r>
        <w:rPr>
          <w:lang w:val="en"/>
        </w:rPr>
        <w:t xml:space="preserve"> </w:t>
      </w:r>
      <w:bookmarkEnd w:id="132"/>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 — Central Framework</w:t>
      </w:r>
      <w:r>
        <w:rPr>
          <w:lang w:val="en"/>
        </w:rPr>
        <w:t xml:space="preserve">. Paras 1.54 and 6.7 (data confrontation), 6.64—6.70 (time series and revisions; para 6.68, revisions as standard practice), 6.86 (volume measures as data confrontation).</w:t>
      </w:r>
      <w:r>
        <w:rPr>
          <w:lang w:val="en"/>
        </w:rPr>
        <w:t xml:space="preserve"> </w:t>
      </w:r>
      <w:hyperlink w:anchor="user-content-fnref-3">
        <w:r>
          <w:rPr>
            <w:rStyle w:val="Hyperlink"/>
            <w:lang w:val="en"/>
          </w:rPr>
          <w:t xml:space="preserve">↩</w:t>
        </w:r>
      </w:hyperlink>
      <w:r>
        <w:rPr>
          <w:lang w:val="en"/>
        </w:rPr>
        <w:t xml:space="preserve"> </w:t>
      </w:r>
      <w:hyperlink w:anchor="user-content-fnref-3-2">
        <w:r>
          <w:rPr>
            <w:rStyle w:val="Hyperlink"/>
            <w:lang w:val="en"/>
          </w:rPr>
          <w:t xml:space="preserve">↩</w:t>
        </w:r>
        <w:r>
          <w:rPr>
            <w:rStyle w:val="Hyperlink"/>
            <w:vertAlign w:val="superscript"/>
            <w:lang w:val="en"/>
          </w:rPr>
          <w:t xml:space="preserve">2</w:t>
        </w:r>
      </w:hyperlink>
    </w:p>
    <w:p>
      <w:pPr>
        <w:numPr>
          <w:ilvl w:val="0"/>
          <w:numId w:val="1011"/>
        </w:numPr>
      </w:pPr>
      <w:bookmarkStart w:id="133" w:name="user-content-fn-4"/>
      <w:r>
        <w:rPr>
          <w:lang w:val="en"/>
        </w:rPr>
        <w:t xml:space="preserve">¶4</w:t>
      </w:r>
      <w:r>
        <w:rPr>
          <w:lang w:val="en"/>
        </w:rPr>
        <w:t xml:space="preserve"> </w:t>
      </w:r>
      <w:bookmarkEnd w:id="133"/>
    </w:p>
    <w:p>
      <w:pPr>
        <w:numPr>
          <w:ilvl w:val="0"/>
          <w:numId w:val="1000"/>
        </w:numPr>
      </w:pPr>
      <w:r>
        <w:rPr>
          <w:lang w:val="en"/>
        </w:rPr>
        <w:t xml:space="preserve">United Nations (2019).</w:t>
      </w:r>
      <w:r>
        <w:rPr>
          <w:lang w:val="en"/>
        </w:rPr>
        <w:t xml:space="preserve"> </w:t>
      </w:r>
      <w:r>
        <w:rPr>
          <w:iCs/>
          <w:i/>
          <w:lang w:val="en"/>
        </w:rPr>
        <w:t xml:space="preserve">United Nations National Quality Assurance Frameworks Manual for Official Statistics</w:t>
      </w:r>
      <w:r>
        <w:rPr>
          <w:lang w:val="en"/>
        </w:rPr>
        <w:t xml:space="preserve">, Studies in Methods Series M No. 100. Requirement 15.1: “Source data, integrated data, intermediate results and statistical outputs are regularly assessed and validated.” Welcomed by the UN Statistical Commission, decision 50/106.</w:t>
      </w:r>
      <w:r>
        <w:rPr>
          <w:lang w:val="en"/>
        </w:rPr>
        <w:t xml:space="preserve"> </w:t>
      </w:r>
      <w:hyperlink w:anchor="user-content-fnref-4">
        <w:r>
          <w:rPr>
            <w:rStyle w:val="Hyperlink"/>
            <w:lang w:val="en"/>
          </w:rPr>
          <w:t xml:space="preserve">↩</w:t>
        </w:r>
      </w:hyperlink>
    </w:p>
    <w:p>
      <w:pPr>
        <w:numPr>
          <w:ilvl w:val="0"/>
          <w:numId w:val="1011"/>
        </w:numPr>
      </w:pPr>
      <w:bookmarkStart w:id="134" w:name="user-content-fn-5"/>
      <w:r>
        <w:rPr>
          <w:lang w:val="en"/>
        </w:rPr>
        <w:t xml:space="preserve">¶5</w:t>
      </w:r>
      <w:r>
        <w:rPr>
          <w:lang w:val="en"/>
        </w:rPr>
        <w:t xml:space="preserve"> </w:t>
      </w:r>
      <w:bookmarkEnd w:id="134"/>
    </w:p>
    <w:p>
      <w:pPr>
        <w:numPr>
          <w:ilvl w:val="0"/>
          <w:numId w:val="1000"/>
        </w:numPr>
      </w:pPr>
      <w:r>
        <w:rPr>
          <w:lang w:val="en"/>
        </w:rPr>
        <w:t xml:space="preserve">International Monetary Fund.</w:t>
      </w:r>
      <w:r>
        <w:rPr>
          <w:lang w:val="en"/>
        </w:rPr>
        <w:t xml:space="preserve"> </w:t>
      </w:r>
      <w:r>
        <w:rPr>
          <w:iCs/>
          <w:i/>
          <w:lang w:val="en"/>
        </w:rPr>
        <w:t xml:space="preserve">Data Quality Assessment Framework: Generic Framework</w:t>
      </w:r>
      <w:r>
        <w:rPr>
          <w:lang w:val="en"/>
        </w:rPr>
        <w:t xml:space="preserve">. Element 3.4, assessment and validation of intermediate data and statistical outputs (indicators 3.4.1—3.4.3).</w:t>
      </w:r>
      <w:r>
        <w:rPr>
          <w:lang w:val="en"/>
        </w:rPr>
        <w:t xml:space="preserve"> </w:t>
      </w:r>
      <w:hyperlink r:id="rId135">
        <w:r>
          <w:rPr>
            <w:rStyle w:val="Hyperlink"/>
            <w:lang w:val="en"/>
          </w:rPr>
          <w:t xml:space="preserve">https://dsbb.imf.org/content/pdfs/dqrs_Genframework.pdf</w:t>
        </w:r>
      </w:hyperlink>
      <w:r>
        <w:rPr>
          <w:lang w:val="en"/>
        </w:rPr>
        <w:t xml:space="preserve"> </w:t>
      </w:r>
      <w:hyperlink w:anchor="user-content-fnref-5">
        <w:r>
          <w:rPr>
            <w:rStyle w:val="Hyperlink"/>
            <w:lang w:val="en"/>
          </w:rPr>
          <w:t xml:space="preserve">↩</w:t>
        </w:r>
      </w:hyperlink>
      <w:r>
        <w:rPr>
          <w:lang w:val="en"/>
        </w:rPr>
        <w:t xml:space="preserve"> </w:t>
      </w:r>
      <w:hyperlink w:anchor="user-content-fnref-5-2">
        <w:r>
          <w:rPr>
            <w:rStyle w:val="Hyperlink"/>
            <w:lang w:val="en"/>
          </w:rPr>
          <w:t xml:space="preserve">↩</w:t>
        </w:r>
        <w:r>
          <w:rPr>
            <w:rStyle w:val="Hyperlink"/>
            <w:vertAlign w:val="superscript"/>
            <w:lang w:val="en"/>
          </w:rPr>
          <w:t xml:space="preserve">2</w:t>
        </w:r>
      </w:hyperlink>
    </w:p>
    <w:p>
      <w:pPr>
        <w:numPr>
          <w:ilvl w:val="0"/>
          <w:numId w:val="1011"/>
        </w:numPr>
      </w:pPr>
      <w:bookmarkStart w:id="136" w:name="user-content-fn-6"/>
      <w:r>
        <w:rPr>
          <w:lang w:val="en"/>
        </w:rPr>
        <w:t xml:space="preserve">¶6</w:t>
      </w:r>
      <w:r>
        <w:rPr>
          <w:lang w:val="en"/>
        </w:rPr>
        <w:t xml:space="preserve"> </w:t>
      </w:r>
      <w:bookmarkEnd w:id="136"/>
    </w:p>
    <w:p>
      <w:pPr>
        <w:numPr>
          <w:ilvl w:val="0"/>
          <w:numId w:val="1000"/>
        </w:numPr>
      </w:pPr>
      <w:r>
        <w:rPr>
          <w:lang w:val="en"/>
        </w:rPr>
        <w:t xml:space="preserve">UNECE (2025).</w:t>
      </w:r>
      <w:r>
        <w:rPr>
          <w:lang w:val="en"/>
        </w:rPr>
        <w:t xml:space="preserve"> </w:t>
      </w:r>
      <w:r>
        <w:rPr>
          <w:iCs/>
          <w:i/>
          <w:lang w:val="en"/>
        </w:rPr>
        <w:t xml:space="preserve">Generic Statistical Business Process Model</w:t>
      </w:r>
      <w:r>
        <w:rPr>
          <w:lang w:val="en"/>
        </w:rPr>
        <w:t xml:space="preserve">, version 5.2. Sub-processes 5.3 (review and validate) and 6.2 (validate outputs).</w:t>
      </w:r>
      <w:r>
        <w:rPr>
          <w:lang w:val="en"/>
        </w:rPr>
        <w:t xml:space="preserve"> </w:t>
      </w:r>
      <w:hyperlink w:anchor="user-content-fnref-6">
        <w:r>
          <w:rPr>
            <w:rStyle w:val="Hyperlink"/>
            <w:lang w:val="en"/>
          </w:rPr>
          <w:t xml:space="preserve">↩</w:t>
        </w:r>
      </w:hyperlink>
    </w:p>
    <w:p>
      <w:pPr>
        <w:numPr>
          <w:ilvl w:val="0"/>
          <w:numId w:val="1011"/>
        </w:numPr>
      </w:pPr>
      <w:bookmarkStart w:id="137" w:name="user-content-fn-7"/>
      <w:r>
        <w:rPr>
          <w:lang w:val="en"/>
        </w:rPr>
        <w:t xml:space="preserve">¶7</w:t>
      </w:r>
      <w:r>
        <w:rPr>
          <w:lang w:val="en"/>
        </w:rPr>
        <w:t xml:space="preserve"> </w:t>
      </w:r>
      <w:bookmarkEnd w:id="137"/>
    </w:p>
    <w:p>
      <w:pPr>
        <w:numPr>
          <w:ilvl w:val="0"/>
          <w:numId w:val="1000"/>
        </w:numPr>
      </w:pPr>
      <w:r>
        <w:rPr>
          <w:lang w:val="en"/>
        </w:rPr>
        <w:t xml:space="preserve">SEEA EA (2024), para 10.40: documenting all revisions to the accounts is strongly recommended for data quality assessment.</w:t>
      </w:r>
      <w:r>
        <w:rPr>
          <w:lang w:val="en"/>
        </w:rPr>
        <w:t xml:space="preserve"> </w:t>
      </w:r>
      <w:hyperlink w:anchor="user-content-fnref-7">
        <w:r>
          <w:rPr>
            <w:rStyle w:val="Hyperlink"/>
            <w:lang w:val="en"/>
          </w:rPr>
          <w:t xml:space="preserve">↩</w:t>
        </w:r>
      </w:hyperlink>
    </w:p>
    <w:p>
      <w:pPr>
        <w:numPr>
          <w:ilvl w:val="0"/>
          <w:numId w:val="1011"/>
        </w:numPr>
      </w:pPr>
      <w:bookmarkStart w:id="138" w:name="user-content-fn-8"/>
      <w:r>
        <w:rPr>
          <w:lang w:val="en"/>
        </w:rPr>
        <w:t xml:space="preserve">¶8</w:t>
      </w:r>
      <w:r>
        <w:rPr>
          <w:lang w:val="en"/>
        </w:rPr>
        <w:t xml:space="preserve"> </w:t>
      </w:r>
      <w:bookmarkEnd w:id="138"/>
    </w:p>
    <w:p>
      <w:pPr>
        <w:numPr>
          <w:ilvl w:val="0"/>
          <w:numId w:val="1000"/>
        </w:numPr>
      </w:pPr>
      <w:r>
        <w:rPr>
          <w:lang w:val="en"/>
        </w:rPr>
        <w:t xml:space="preserve">SEEA EA (2024), para 4.17: no distinct entry is recorded for revisions to extent; the entries for opening and closing extent and for additions and reductions are altered, and it may be appropriate to show the size of the revision for analysis and dissemination.</w:t>
      </w:r>
      <w:r>
        <w:rPr>
          <w:lang w:val="en"/>
        </w:rPr>
        <w:t xml:space="preserve"> </w:t>
      </w:r>
      <w:hyperlink w:anchor="user-content-fnref-8">
        <w:r>
          <w:rPr>
            <w:rStyle w:val="Hyperlink"/>
            <w:lang w:val="en"/>
          </w:rPr>
          <w:t xml:space="preserve">↩</w:t>
        </w:r>
      </w:hyperlink>
    </w:p>
    <w:p>
      <w:pPr>
        <w:numPr>
          <w:ilvl w:val="0"/>
          <w:numId w:val="1011"/>
        </w:numPr>
      </w:pPr>
      <w:bookmarkStart w:id="139" w:name="user-content-fn-16"/>
      <w:r>
        <w:rPr>
          <w:lang w:val="en"/>
        </w:rPr>
        <w:t xml:space="preserve">¶9</w:t>
      </w:r>
      <w:r>
        <w:rPr>
          <w:lang w:val="en"/>
        </w:rPr>
        <w:t xml:space="preserve"> </w:t>
      </w:r>
      <w:bookmarkEnd w:id="139"/>
    </w:p>
    <w:p>
      <w:pPr>
        <w:numPr>
          <w:ilvl w:val="0"/>
          <w:numId w:val="1000"/>
        </w:numPr>
      </w:pPr>
      <w:r>
        <w:rPr>
          <w:lang w:val="en"/>
        </w:rPr>
        <w:t xml:space="preserve">SEEA EA (2024), para 10.38: reappraisals are recorded when updated information permits a reassessment of the expected condition of ecosystem assets or the future demand for their services.</w:t>
      </w:r>
      <w:r>
        <w:rPr>
          <w:lang w:val="en"/>
        </w:rPr>
        <w:t xml:space="preserve"> </w:t>
      </w:r>
      <w:hyperlink w:anchor="user-content-fnref-16">
        <w:r>
          <w:rPr>
            <w:rStyle w:val="Hyperlink"/>
            <w:lang w:val="en"/>
          </w:rPr>
          <w:t xml:space="preserve">↩</w:t>
        </w:r>
      </w:hyperlink>
    </w:p>
    <w:p>
      <w:pPr>
        <w:numPr>
          <w:ilvl w:val="0"/>
          <w:numId w:val="1011"/>
        </w:numPr>
      </w:pPr>
      <w:bookmarkStart w:id="140" w:name="user-content-fn-9"/>
      <w:r>
        <w:rPr>
          <w:lang w:val="en"/>
        </w:rPr>
        <w:t xml:space="preserve">¶10</w:t>
      </w:r>
      <w:r>
        <w:rPr>
          <w:lang w:val="en"/>
        </w:rPr>
        <w:t xml:space="preserve"> </w:t>
      </w:r>
      <w:bookmarkEnd w:id="140"/>
    </w:p>
    <w:p>
      <w:pPr>
        <w:numPr>
          <w:ilvl w:val="0"/>
          <w:numId w:val="1000"/>
        </w:numPr>
      </w:pPr>
      <w:r>
        <w:rPr>
          <w:lang w:val="en"/>
        </w:rPr>
        <w:t xml:space="preserve">Olofsson, P., Foody, G. M., Herold, M., Stehman, S. V., Woodcock, C. E. and Wulder, M. A. (2014). Good practices for estimating area and assessing accuracy of land change.</w:t>
      </w:r>
      <w:r>
        <w:rPr>
          <w:lang w:val="en"/>
        </w:rPr>
        <w:t xml:space="preserve"> </w:t>
      </w:r>
      <w:r>
        <w:rPr>
          <w:iCs/>
          <w:i/>
          <w:lang w:val="en"/>
        </w:rPr>
        <w:t xml:space="preserve">Remote Sensing of Environment</w:t>
      </w:r>
      <w:r>
        <w:rPr>
          <w:lang w:val="en"/>
        </w:rPr>
        <w:t xml:space="preserve"> </w:t>
      </w:r>
      <w:r>
        <w:rPr>
          <w:lang w:val="en"/>
        </w:rPr>
        <w:t xml:space="preserve">148, 42—57.</w:t>
      </w:r>
      <w:r>
        <w:rPr>
          <w:lang w:val="en"/>
        </w:rPr>
        <w:t xml:space="preserve"> </w:t>
      </w:r>
      <w:hyperlink r:id="rId141">
        <w:r>
          <w:rPr>
            <w:rStyle w:val="Hyperlink"/>
            <w:lang w:val="en"/>
          </w:rPr>
          <w:t xml:space="preserve">https://doi.org/10.1016/j.rse.2014.02.015</w:t>
        </w:r>
      </w:hyperlink>
      <w:r>
        <w:rPr>
          <w:lang w:val="en"/>
        </w:rPr>
        <w:t xml:space="preserve"> </w:t>
      </w:r>
      <w:hyperlink w:anchor="user-content-fnref-9">
        <w:r>
          <w:rPr>
            <w:rStyle w:val="Hyperlink"/>
            <w:lang w:val="en"/>
          </w:rPr>
          <w:t xml:space="preserve">↩</w:t>
        </w:r>
      </w:hyperlink>
    </w:p>
    <w:p>
      <w:pPr>
        <w:numPr>
          <w:ilvl w:val="0"/>
          <w:numId w:val="1011"/>
        </w:numPr>
      </w:pPr>
      <w:bookmarkStart w:id="142" w:name="user-content-fn-10"/>
      <w:r>
        <w:rPr>
          <w:lang w:val="en"/>
        </w:rPr>
        <w:t xml:space="preserve">¶11</w:t>
      </w:r>
      <w:r>
        <w:rPr>
          <w:lang w:val="en"/>
        </w:rPr>
        <w:t xml:space="preserve"> </w:t>
      </w:r>
      <w:bookmarkEnd w:id="142"/>
    </w:p>
    <w:p>
      <w:pPr>
        <w:numPr>
          <w:ilvl w:val="0"/>
          <w:numId w:val="1000"/>
        </w:numPr>
      </w:pPr>
      <w:r>
        <w:rPr>
          <w:lang w:val="en"/>
        </w:rPr>
        <w:t xml:space="preserve">JCGM (2008).</w:t>
      </w:r>
      <w:r>
        <w:rPr>
          <w:lang w:val="en"/>
        </w:rPr>
        <w:t xml:space="preserve"> </w:t>
      </w:r>
      <w:r>
        <w:rPr>
          <w:iCs/>
          <w:i/>
          <w:lang w:val="en"/>
        </w:rPr>
        <w:t xml:space="preserve">Evaluation of measurement data — Guide to the expression of uncertainty in measurement</w:t>
      </w:r>
      <w:r>
        <w:rPr>
          <w:lang w:val="en"/>
        </w:rPr>
        <w:t xml:space="preserve"> </w:t>
      </w:r>
      <w:r>
        <w:rPr>
          <w:lang w:val="en"/>
        </w:rPr>
        <w:t xml:space="preserve">(GUM), JCGM 100:2008.</w:t>
      </w:r>
      <w:r>
        <w:rPr>
          <w:lang w:val="en"/>
        </w:rPr>
        <w:t xml:space="preserve"> </w:t>
      </w:r>
      <w:hyperlink w:anchor="user-content-fnref-10">
        <w:r>
          <w:rPr>
            <w:rStyle w:val="Hyperlink"/>
            <w:lang w:val="en"/>
          </w:rPr>
          <w:t xml:space="preserve">↩</w:t>
        </w:r>
      </w:hyperlink>
    </w:p>
    <w:p>
      <w:pPr>
        <w:numPr>
          <w:ilvl w:val="0"/>
          <w:numId w:val="1011"/>
        </w:numPr>
      </w:pPr>
      <w:bookmarkStart w:id="143" w:name="user-content-fn-11"/>
      <w:r>
        <w:rPr>
          <w:lang w:val="en"/>
        </w:rPr>
        <w:t xml:space="preserve">¶12</w:t>
      </w:r>
      <w:r>
        <w:rPr>
          <w:lang w:val="en"/>
        </w:rPr>
        <w:t xml:space="preserve"> </w:t>
      </w:r>
      <w:bookmarkEnd w:id="143"/>
    </w:p>
    <w:p>
      <w:pPr>
        <w:numPr>
          <w:ilvl w:val="0"/>
          <w:numId w:val="1000"/>
        </w:numPr>
      </w:pPr>
      <w:r>
        <w:rPr>
          <w:lang w:val="en"/>
        </w:rPr>
        <w:t xml:space="preserve">JCGM (2008).</w:t>
      </w:r>
      <w:r>
        <w:rPr>
          <w:lang w:val="en"/>
        </w:rPr>
        <w:t xml:space="preserve"> </w:t>
      </w:r>
      <w:r>
        <w:rPr>
          <w:iCs/>
          <w:i/>
          <w:lang w:val="en"/>
        </w:rPr>
        <w:t xml:space="preserve">Evaluation of measurement data — Supplement 1 to the GUM: Propagation of distributions using a Monte Carlo method</w:t>
      </w:r>
      <w:r>
        <w:rPr>
          <w:lang w:val="en"/>
        </w:rPr>
        <w:t xml:space="preserve">, JCGM 101:2008.</w:t>
      </w:r>
      <w:r>
        <w:rPr>
          <w:lang w:val="en"/>
        </w:rPr>
        <w:t xml:space="preserve"> </w:t>
      </w:r>
      <w:hyperlink w:anchor="user-content-fnref-11">
        <w:r>
          <w:rPr>
            <w:rStyle w:val="Hyperlink"/>
            <w:lang w:val="en"/>
          </w:rPr>
          <w:t xml:space="preserve">↩</w:t>
        </w:r>
      </w:hyperlink>
    </w:p>
    <w:p>
      <w:pPr>
        <w:numPr>
          <w:ilvl w:val="0"/>
          <w:numId w:val="1011"/>
        </w:numPr>
      </w:pPr>
      <w:bookmarkStart w:id="144" w:name="user-content-fn-13"/>
      <w:r>
        <w:rPr>
          <w:lang w:val="en"/>
        </w:rPr>
        <w:t xml:space="preserve">¶13</w:t>
      </w:r>
      <w:r>
        <w:rPr>
          <w:lang w:val="en"/>
        </w:rPr>
        <w:t xml:space="preserve"> </w:t>
      </w:r>
      <w:bookmarkEnd w:id="144"/>
    </w:p>
    <w:p>
      <w:pPr>
        <w:numPr>
          <w:ilvl w:val="0"/>
          <w:numId w:val="1000"/>
        </w:numPr>
      </w:pPr>
      <w:r>
        <w:rPr>
          <w:lang w:val="en"/>
        </w:rPr>
        <w:t xml:space="preserve">IPCC (2019).</w:t>
      </w:r>
      <w:r>
        <w:rPr>
          <w:lang w:val="en"/>
        </w:rPr>
        <w:t xml:space="preserve"> </w:t>
      </w:r>
      <w:r>
        <w:rPr>
          <w:iCs/>
          <w:i/>
          <w:lang w:val="en"/>
        </w:rPr>
        <w:t xml:space="preserve">2019 Refinement to the 2006 IPCC Guidelines for National Greenhouse Gas Inventories</w:t>
      </w:r>
      <w:r>
        <w:rPr>
          <w:lang w:val="en"/>
        </w:rPr>
        <w:t xml:space="preserve">, Volume 1, Chapter 6, Section 6.12: Use and reporting of models, including conservation of mass and land area.</w:t>
      </w:r>
      <w:r>
        <w:rPr>
          <w:lang w:val="en"/>
        </w:rPr>
        <w:t xml:space="preserve"> </w:t>
      </w:r>
      <w:hyperlink w:anchor="user-content-fnref-13">
        <w:r>
          <w:rPr>
            <w:rStyle w:val="Hyperlink"/>
            <w:lang w:val="en"/>
          </w:rPr>
          <w:t xml:space="preserve">↩</w:t>
        </w:r>
      </w:hyperlink>
    </w:p>
    <w:p>
      <w:pPr>
        <w:numPr>
          <w:ilvl w:val="0"/>
          <w:numId w:val="1011"/>
        </w:numPr>
      </w:pPr>
      <w:bookmarkStart w:id="145" w:name="user-content-fn-14"/>
      <w:r>
        <w:rPr>
          <w:lang w:val="en"/>
        </w:rPr>
        <w:t xml:space="preserve">¶14</w:t>
      </w:r>
      <w:r>
        <w:rPr>
          <w:lang w:val="en"/>
        </w:rPr>
        <w:t xml:space="preserve"> </w:t>
      </w:r>
      <w:bookmarkEnd w:id="145"/>
    </w:p>
    <w:p>
      <w:pPr>
        <w:numPr>
          <w:ilvl w:val="0"/>
          <w:numId w:val="1000"/>
        </w:numPr>
      </w:pPr>
      <w:r>
        <w:rPr>
          <w:lang w:val="en"/>
        </w:rPr>
        <w:t xml:space="preserve">United Nations Statistics Division. SDG indicator metadata template, fields 4.d (validation) and 4.i—4.k (quality management, quality assurance, quality assessment). See, for example, the metadata for indicator 14.5.1.</w:t>
      </w:r>
      <w:r>
        <w:rPr>
          <w:lang w:val="en"/>
        </w:rPr>
        <w:t xml:space="preserve"> </w:t>
      </w:r>
      <w:hyperlink w:anchor="user-content-fnref-14">
        <w:r>
          <w:rPr>
            <w:rStyle w:val="Hyperlink"/>
            <w:lang w:val="en"/>
          </w:rPr>
          <w:t xml:space="preserve">↩</w:t>
        </w:r>
      </w:hyperlink>
    </w:p>
    <w:p>
      <w:pPr>
        <w:numPr>
          <w:ilvl w:val="0"/>
          <w:numId w:val="1011"/>
        </w:numPr>
      </w:pPr>
      <w:bookmarkStart w:id="146" w:name="user-content-fn-12"/>
      <w:r>
        <w:rPr>
          <w:lang w:val="en"/>
        </w:rPr>
        <w:t xml:space="preserve">¶15</w:t>
      </w:r>
      <w:r>
        <w:rPr>
          <w:lang w:val="en"/>
        </w:rPr>
        <w:t xml:space="preserve"> </w:t>
      </w:r>
      <w:bookmarkEnd w:id="146"/>
    </w:p>
    <w:p>
      <w:pPr>
        <w:numPr>
          <w:ilvl w:val="0"/>
          <w:numId w:val="1000"/>
        </w:numPr>
      </w:pPr>
      <w:r>
        <w:rPr>
          <w:lang w:val="en"/>
        </w:rPr>
        <w:t xml:space="preserve">United Nations (2022).</w:t>
      </w:r>
      <w:r>
        <w:rPr>
          <w:lang w:val="en"/>
        </w:rPr>
        <w:t xml:space="preserve"> </w:t>
      </w:r>
      <w:r>
        <w:rPr>
          <w:iCs/>
          <w:i/>
          <w:lang w:val="en"/>
        </w:rPr>
        <w:t xml:space="preserve">Guidelines on Biophysical Modelling for Ecosystem Accounting</w:t>
      </w:r>
      <w:r>
        <w:rPr>
          <w:lang w:val="en"/>
        </w:rPr>
        <w:t xml:space="preserve">, Chapter 7: Data quality for biophysical modelling. Paras 359—369 (accuracy, reliability and model validation), 374—375 (provenance and version control).</w:t>
      </w:r>
      <w:r>
        <w:rPr>
          <w:lang w:val="en"/>
        </w:rPr>
        <w:t xml:space="preserve"> </w:t>
      </w:r>
      <w:hyperlink w:anchor="user-content-fnref-12">
        <w:r>
          <w:rPr>
            <w:rStyle w:val="Hyperlink"/>
            <w:lang w:val="en"/>
          </w:rPr>
          <w:t xml:space="preserve">↩</w:t>
        </w:r>
      </w:hyperlink>
    </w:p>
    <w:p>
      <w:pPr>
        <w:numPr>
          <w:ilvl w:val="0"/>
          <w:numId w:val="1011"/>
        </w:numPr>
      </w:pPr>
      <w:bookmarkStart w:id="147" w:name="user-content-fn-15"/>
      <w:r>
        <w:rPr>
          <w:lang w:val="en"/>
        </w:rPr>
        <w:t xml:space="preserve">¶16</w:t>
      </w:r>
      <w:r>
        <w:rPr>
          <w:lang w:val="en"/>
        </w:rPr>
        <w:t xml:space="preserve"> </w:t>
      </w:r>
      <w:bookmarkEnd w:id="147"/>
    </w:p>
    <w:p>
      <w:pPr>
        <w:numPr>
          <w:ilvl w:val="0"/>
          <w:numId w:val="1000"/>
        </w:numPr>
      </w:pPr>
      <w:r>
        <w:rPr>
          <w:lang w:val="en"/>
        </w:rPr>
        <w:t xml:space="preserve">United Nations Statistical Commission, decision 52/108 (March 2021), as recorded in the Preface to SEEA EA (2024): chapters 8 to 11 “describe internationally recognized statistical principles and recommendations for the valuation of ecosystem services and assets”. The Commission adopted chapters 1 to 7 as an international statistical standard.</w:t>
      </w:r>
      <w:r>
        <w:rPr>
          <w:lang w:val="en"/>
        </w:rPr>
        <w:t xml:space="preserve"> </w:t>
      </w:r>
      <w:hyperlink w:anchor="user-content-fnref-15">
        <w:r>
          <w:rPr>
            <w:rStyle w:val="Hyperlink"/>
            <w:lang w:val="en"/>
          </w:rPr>
          <w:t xml:space="preserve">↩</w:t>
        </w:r>
      </w:hyperlink>
    </w:p>
    <w:bookmarkStart w:id="148" w:name="tg-peek-card"/>
    <w:bookmarkEnd w:id="1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7" Target="media/rId47.svgz" /><Relationship Type="http://schemas.openxmlformats.org/officeDocument/2006/relationships/image" Id="rId62" Target="media/rId62.svgz" /><Relationship Type="http://schemas.openxmlformats.org/officeDocument/2006/relationships/image" Id="rId84" Target="media/rId84.svgz" /><Relationship Type="http://schemas.openxmlformats.org/officeDocument/2006/relationships/image" Id="rId96" Target="media/rId96.svgz" /><Relationship Type="http://schemas.openxmlformats.org/officeDocument/2006/relationships/image" Id="rId87" Target="media/rId87.svgz" /><Relationship Type="http://schemas.openxmlformats.org/officeDocument/2006/relationships/image" Id="rId102" Target="media/rId102.svgz" /><Relationship Type="http://schemas.openxmlformats.org/officeDocument/2006/relationships/image" Id="rId65" Target="media/rId65.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41" Target="https://doi.org/10.1016/j.rse.2014.02.015" TargetMode="External" /><Relationship Type="http://schemas.openxmlformats.org/officeDocument/2006/relationships/hyperlink" Id="rId135" Target="https://dsbb.imf.org/content/pdfs/dqrs_Genframework.pdf" TargetMode="External" /><Relationship Type="http://schemas.openxmlformats.org/officeDocument/2006/relationships/hyperlink" Id="rId36" Target="https://guidance.oceanaccounts.org/circulars/section-0/0-1-general-introduction" TargetMode="External" /><Relationship Type="http://schemas.openxmlformats.org/officeDocument/2006/relationships/hyperlink" Id="rId77" Target="https://guidance.oceanaccounts.org/circulars/section-0/0-4-structure" TargetMode="External" /><Relationship Type="http://schemas.openxmlformats.org/officeDocument/2006/relationships/hyperlink" Id="rId37" Target="https://guidance.oceanaccounts.org/circulars/section-0/0-7-quality-assurance" TargetMode="External" /><Relationship Type="http://schemas.openxmlformats.org/officeDocument/2006/relationships/hyperlink" Id="rId46" Target="https://guidance.oceanaccounts.org/circulars/section-0/0-8-implementation-readiness" TargetMode="External" /><Relationship Type="http://schemas.openxmlformats.org/officeDocument/2006/relationships/hyperlink" Id="rId39" Target="https://guidance.oceanaccounts.org/circulars/section-1/1-9-valuation" TargetMode="External" /><Relationship Type="http://schemas.openxmlformats.org/officeDocument/2006/relationships/hyperlink" Id="rId38" Target="https://guidance.oceanaccounts.org/circulars/section-2/2-1-biophysical-indicators" TargetMode="External" /><Relationship Type="http://schemas.openxmlformats.org/officeDocument/2006/relationships/hyperlink" Id="rId42" Target="https://guidance.oceanaccounts.org/circulars/section-2/2-12-spatial-data-frameworks" TargetMode="External" /><Relationship Type="http://schemas.openxmlformats.org/officeDocument/2006/relationships/hyperlink" Id="rId40"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50" Target="https://guidance.oceanaccounts.org/circulars/section-3/3-2-flows-env-econ" TargetMode="External" /><Relationship Type="http://schemas.openxmlformats.org/officeDocument/2006/relationships/hyperlink" Id="rId52" Target="https://guidance.oceanaccounts.org/circulars/section-3/3-3-economic-activity" TargetMode="External" /><Relationship Type="http://schemas.openxmlformats.org/officeDocument/2006/relationships/hyperlink" Id="rId51" Target="https://guidance.oceanaccounts.org/circulars/section-3/3-4-flows-econ-env" TargetMode="External" /><Relationship Type="http://schemas.openxmlformats.org/officeDocument/2006/relationships/hyperlink" Id="rId53" Target="https://guidance.oceanaccounts.org/circulars/section-3/3-5-social-accounts" TargetMode="External" /><Relationship Type="http://schemas.openxmlformats.org/officeDocument/2006/relationships/hyperlink" Id="rId73" Target="https://guidance.oceanaccounts.org/circulars/section-3/3-6-traditional-knowledge" TargetMode="External" /><Relationship Type="http://schemas.openxmlformats.org/officeDocument/2006/relationships/hyperlink" Id="rId54" Target="https://guidance.oceanaccounts.org/circulars/section-3/3-7-governance" TargetMode="External" /><Relationship Type="http://schemas.openxmlformats.org/officeDocument/2006/relationships/hyperlink" Id="rId55" Target="https://guidance.oceanaccounts.org/circulars/section-3/3-8-combined-presentations" TargetMode="External" /><Relationship Type="http://schemas.openxmlformats.org/officeDocument/2006/relationships/hyperlink" Id="rId41" Target="https://guidance.oceanaccounts.org/circulars/section-4/4-1-remote-sensing" TargetMode="External" /><Relationship Type="http://schemas.openxmlformats.org/officeDocument/2006/relationships/hyperlink" Id="rId115" Target="https://guidance.oceanaccounts.org/circulars/section-4/4-11-research-statistical-modelling" TargetMode="External" /><Relationship Type="http://schemas.openxmlformats.org/officeDocument/2006/relationships/hyperlink" Id="rId78" Target="https://guidance.oceanaccounts.org/circulars/section-4/4-5-research-data" TargetMode="External" /><Relationship Type="http://schemas.openxmlformats.org/officeDocument/2006/relationships/hyperlink" Id="rId43" Target="https://guidance.oceanaccounts.org/circulars/section-4/4-8-physical-condition-measurement" TargetMode="External" /><Relationship Type="http://schemas.openxmlformats.org/officeDocument/2006/relationships/hyperlink" Id="rId44" Target="https://guidance.oceanaccounts.org/circulars/section-4/4-9-biological-condition-measurement" TargetMode="External" /><Relationship Type="http://schemas.openxmlformats.org/officeDocument/2006/relationships/hyperlink" Id="rId45" Target="https://guidance.oceanaccounts.org/circulars/section-6/6-7-fisheries-stock-assessment" TargetMode="External" /><Relationship Type="http://schemas.openxmlformats.org/officeDocument/2006/relationships/hyperlink" Id="rId109" Target="https://guidance.oceanaccounts.org/downloads/tg-3-16/qc-log.csv" TargetMode="External" /><Relationship Type="http://schemas.openxmlformats.org/officeDocument/2006/relationships/hyperlink" Id="rId108" Target="https://guidance.oceanaccounts.org/downloads/tg-3-16/worked-example-tables.html" TargetMode="External" /><Relationship Type="http://schemas.openxmlformats.org/officeDocument/2006/relationships/hyperlink" Id="rId130" Target="https://www.ipcc-nggip.iges.or.jp/public/2006gl/pdf/1_Volume1/V1_6_Ch6_QA_QC.pdf"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41" Target="https://doi.org/10.1016/j.rse.2014.02.015" TargetMode="External" /><Relationship Type="http://schemas.openxmlformats.org/officeDocument/2006/relationships/hyperlink" Id="rId135" Target="https://dsbb.imf.org/content/pdfs/dqrs_Genframework.pdf" TargetMode="External" /><Relationship Type="http://schemas.openxmlformats.org/officeDocument/2006/relationships/hyperlink" Id="rId36" Target="https://guidance.oceanaccounts.org/circulars/section-0/0-1-general-introduction" TargetMode="External" /><Relationship Type="http://schemas.openxmlformats.org/officeDocument/2006/relationships/hyperlink" Id="rId77" Target="https://guidance.oceanaccounts.org/circulars/section-0/0-4-structure" TargetMode="External" /><Relationship Type="http://schemas.openxmlformats.org/officeDocument/2006/relationships/hyperlink" Id="rId37" Target="https://guidance.oceanaccounts.org/circulars/section-0/0-7-quality-assurance" TargetMode="External" /><Relationship Type="http://schemas.openxmlformats.org/officeDocument/2006/relationships/hyperlink" Id="rId46" Target="https://guidance.oceanaccounts.org/circulars/section-0/0-8-implementation-readiness" TargetMode="External" /><Relationship Type="http://schemas.openxmlformats.org/officeDocument/2006/relationships/hyperlink" Id="rId39" Target="https://guidance.oceanaccounts.org/circulars/section-1/1-9-valuation" TargetMode="External" /><Relationship Type="http://schemas.openxmlformats.org/officeDocument/2006/relationships/hyperlink" Id="rId38" Target="https://guidance.oceanaccounts.org/circulars/section-2/2-1-biophysical-indicators" TargetMode="External" /><Relationship Type="http://schemas.openxmlformats.org/officeDocument/2006/relationships/hyperlink" Id="rId42" Target="https://guidance.oceanaccounts.org/circulars/section-2/2-12-spatial-data-frameworks" TargetMode="External" /><Relationship Type="http://schemas.openxmlformats.org/officeDocument/2006/relationships/hyperlink" Id="rId40"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50" Target="https://guidance.oceanaccounts.org/circulars/section-3/3-2-flows-env-econ" TargetMode="External" /><Relationship Type="http://schemas.openxmlformats.org/officeDocument/2006/relationships/hyperlink" Id="rId52" Target="https://guidance.oceanaccounts.org/circulars/section-3/3-3-economic-activity" TargetMode="External" /><Relationship Type="http://schemas.openxmlformats.org/officeDocument/2006/relationships/hyperlink" Id="rId51" Target="https://guidance.oceanaccounts.org/circulars/section-3/3-4-flows-econ-env" TargetMode="External" /><Relationship Type="http://schemas.openxmlformats.org/officeDocument/2006/relationships/hyperlink" Id="rId53" Target="https://guidance.oceanaccounts.org/circulars/section-3/3-5-social-accounts" TargetMode="External" /><Relationship Type="http://schemas.openxmlformats.org/officeDocument/2006/relationships/hyperlink" Id="rId73" Target="https://guidance.oceanaccounts.org/circulars/section-3/3-6-traditional-knowledge" TargetMode="External" /><Relationship Type="http://schemas.openxmlformats.org/officeDocument/2006/relationships/hyperlink" Id="rId54" Target="https://guidance.oceanaccounts.org/circulars/section-3/3-7-governance" TargetMode="External" /><Relationship Type="http://schemas.openxmlformats.org/officeDocument/2006/relationships/hyperlink" Id="rId55" Target="https://guidance.oceanaccounts.org/circulars/section-3/3-8-combined-presentations" TargetMode="External" /><Relationship Type="http://schemas.openxmlformats.org/officeDocument/2006/relationships/hyperlink" Id="rId41" Target="https://guidance.oceanaccounts.org/circulars/section-4/4-1-remote-sensing" TargetMode="External" /><Relationship Type="http://schemas.openxmlformats.org/officeDocument/2006/relationships/hyperlink" Id="rId115" Target="https://guidance.oceanaccounts.org/circulars/section-4/4-11-research-statistical-modelling" TargetMode="External" /><Relationship Type="http://schemas.openxmlformats.org/officeDocument/2006/relationships/hyperlink" Id="rId78" Target="https://guidance.oceanaccounts.org/circulars/section-4/4-5-research-data" TargetMode="External" /><Relationship Type="http://schemas.openxmlformats.org/officeDocument/2006/relationships/hyperlink" Id="rId43" Target="https://guidance.oceanaccounts.org/circulars/section-4/4-8-physical-condition-measurement" TargetMode="External" /><Relationship Type="http://schemas.openxmlformats.org/officeDocument/2006/relationships/hyperlink" Id="rId44" Target="https://guidance.oceanaccounts.org/circulars/section-4/4-9-biological-condition-measurement" TargetMode="External" /><Relationship Type="http://schemas.openxmlformats.org/officeDocument/2006/relationships/hyperlink" Id="rId45" Target="https://guidance.oceanaccounts.org/circulars/section-6/6-7-fisheries-stock-assessment" TargetMode="External" /><Relationship Type="http://schemas.openxmlformats.org/officeDocument/2006/relationships/hyperlink" Id="rId109" Target="https://guidance.oceanaccounts.org/downloads/tg-3-16/qc-log.csv" TargetMode="External" /><Relationship Type="http://schemas.openxmlformats.org/officeDocument/2006/relationships/hyperlink" Id="rId108" Target="https://guidance.oceanaccounts.org/downloads/tg-3-16/worked-example-tables.html" TargetMode="External" /><Relationship Type="http://schemas.openxmlformats.org/officeDocument/2006/relationships/hyperlink" Id="rId130" Target="https://www.ipcc-nggip.iges.or.jp/public/2006gl/pdf/1_Volume1/V1_6_Ch6_QA_QC.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Assurance and Quality Control of Ocean Asset Accounts | Global Ocean Accounts Partnership</dc:title>
  <dc:creator/>
  <dc:description>Sets out the checks, records and independent review that show an ocean asset account — physical or monetary, individual resource or ecosystem — is complete, balanced and fit to publish.</dc:description>
  <dc:language>en</dc:language>
  <cp:keywords/>
  <dcterms:created xsi:type="dcterms:W3CDTF">2026-10-23T04:12:29Z</dcterms:created>
  <dcterms:modified xsi:type="dcterms:W3CDTF">2026-10-23T04:12:29Z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https://guidance.oceanaccounts.org/circulars/section-3/3-16-asset-accounts-qaqc/</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Quality Assurance and Quality Control of Ocean Asset Accounts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Quality Assurance and Quality Control of Ocean Asset Accounts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