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svgz" ContentType="image/svg+xml;base64"/>
  <Override PartName="/word/media/rId49.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Structure and Function of the Ocean Economy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TG-2.5 Section 2: Compiling Indicators from Ocean Accounts Applied Draft TG-2.5 Applied Draft Section 2 Section 2: Compiling Indicators from Ocean Accounts ocean economy gross value added GVA sector composition supply use table SDG 14.7 resource depletion trade productivity SNA SNA 2025 MEA multilateral environmental agreement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TG-2.5</w:t>
            </w:r>
          </w:p>
        </w:tc>
      </w:tr>
      <w:tr>
        <w:tc>
          <w:tcPr/>
          <w:p>
            <w:pPr>
              <w:pStyle w:val="Compact"/>
              <w:jc w:val="left"/>
            </w:pPr>
            <w:r>
              <w:rPr>
                <w:bCs/>
                <w:b/>
                <w:lang w:val="en"/>
              </w:rPr>
              <w:t xml:space="preserve">Version</w:t>
            </w:r>
          </w:p>
        </w:tc>
        <w:tc>
          <w:tcPr/>
          <w:p>
            <w:pPr>
              <w:pStyle w:val="Compact"/>
              <w:jc w:val="left"/>
            </w:pPr>
            <w:r>
              <w:rPr>
                <w:lang w:val="en"/>
              </w:rPr>
              <w:t xml:space="preserve">0.9.1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TG-2.5 · Section 2: Compiling Indicators from Ocean Accounts · 1 September 2026</w:t>
      </w:r>
    </w:p>
    <w:bookmarkStart w:id="26" w:name="Xb3744940a44127a97a9d786c9d5b7755d6bb745"/>
    <w:p>
      <w:pPr>
        <w:pStyle w:val="Heading1"/>
      </w:pPr>
      <w:r>
        <w:rPr>
          <w:lang w:val="en"/>
        </w:rPr>
        <w:t xml:space="preserve">Structure and Function of the Ocean Economy</w:t>
      </w:r>
    </w:p>
    <w:p>
      <w:pPr>
        <w:pStyle w:val="FirstParagraph"/>
      </w:pPr>
      <w:r>
        <w:rPr>
          <w:lang w:val="en"/>
        </w:rPr>
        <w:t xml:space="preserve">Compiles indicators characterising the structure and function of the ocean economy: sector composition by industry classification.</w:t>
      </w:r>
    </w:p>
    <w:p>
      <w:pPr>
        <w:pStyle w:val="DefinitionTerm"/>
      </w:pPr>
      <w:r>
        <w:rPr>
          <w:lang w:val="en"/>
        </w:rPr>
        <w:t xml:space="preserve">Version</w:t>
      </w:r>
    </w:p>
    <w:p>
      <w:pPr>
        <w:pStyle w:val="Definition"/>
      </w:pPr>
      <w:r>
        <w:rPr>
          <w:lang w:val="en"/>
        </w:rPr>
        <w:t xml:space="preserve">0.9.1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0403a2d9c1c92215e9d972ca5e882574370709d">
        <w:r>
          <w:rPr>
            <w:rStyle w:val="Hyperlink"/>
            <w:lang w:val="en"/>
          </w:rPr>
          <w:t xml:space="preserve">3.1 Ocean Economy Structure Framework</w:t>
        </w:r>
      </w:hyperlink>
    </w:p>
    <w:p>
      <w:pPr>
        <w:numPr>
          <w:ilvl w:val="1"/>
          <w:numId w:val="1002"/>
        </w:numPr>
        <w:pStyle w:val="Compact"/>
      </w:pPr>
      <w:hyperlink w:anchor="X01dacea45b0569ef02227ea28e2d21a60a4adb7">
        <w:r>
          <w:rPr>
            <w:rStyle w:val="Hyperlink"/>
            <w:lang w:val="en"/>
          </w:rPr>
          <w:t xml:space="preserve">3.2 Sector Composition Indicators</w:t>
        </w:r>
      </w:hyperlink>
    </w:p>
    <w:p>
      <w:pPr>
        <w:numPr>
          <w:ilvl w:val="1"/>
          <w:numId w:val="1002"/>
        </w:numPr>
        <w:pStyle w:val="Compact"/>
      </w:pPr>
      <w:hyperlink w:anchor="X5202b0dc78d7880094024fcb3be73e9e11f3205">
        <w:r>
          <w:rPr>
            <w:rStyle w:val="Hyperlink"/>
            <w:lang w:val="en"/>
          </w:rPr>
          <w:t xml:space="preserve">3.3 Growth and Productivity Indicators</w:t>
        </w:r>
      </w:hyperlink>
    </w:p>
    <w:p>
      <w:pPr>
        <w:numPr>
          <w:ilvl w:val="1"/>
          <w:numId w:val="1002"/>
        </w:numPr>
        <w:pStyle w:val="Compact"/>
      </w:pPr>
      <w:hyperlink w:anchor="X3871eadc8283a51612a00c387a6200a6042b9cd">
        <w:r>
          <w:rPr>
            <w:rStyle w:val="Hyperlink"/>
            <w:lang w:val="en"/>
          </w:rPr>
          <w:t xml:space="preserve">3.4 Net Ocean GVA</w:t>
        </w:r>
      </w:hyperlink>
    </w:p>
    <w:p>
      <w:pPr>
        <w:numPr>
          <w:ilvl w:val="1"/>
          <w:numId w:val="1002"/>
        </w:numPr>
        <w:pStyle w:val="Compact"/>
      </w:pPr>
      <w:hyperlink w:anchor="Xd4bff562e8a690539d4c905feb3cca7ae64175c">
        <w:r>
          <w:rPr>
            <w:rStyle w:val="Hyperlink"/>
            <w:lang w:val="en"/>
          </w:rPr>
          <w:t xml:space="preserve">3.5 Employment Structure</w:t>
        </w:r>
      </w:hyperlink>
    </w:p>
    <w:p>
      <w:pPr>
        <w:numPr>
          <w:ilvl w:val="1"/>
          <w:numId w:val="1002"/>
        </w:numPr>
        <w:pStyle w:val="Compact"/>
      </w:pPr>
      <w:hyperlink w:anchor="X29e0de1ed55296df459e538abe461ecd8a1e6d2">
        <w:r>
          <w:rPr>
            <w:rStyle w:val="Hyperlink"/>
            <w:lang w:val="en"/>
          </w:rPr>
          <w:t xml:space="preserve">3.6 Trade and Investment Indicators</w:t>
        </w:r>
      </w:hyperlink>
    </w:p>
    <w:p>
      <w:pPr>
        <w:numPr>
          <w:ilvl w:val="1"/>
          <w:numId w:val="1002"/>
        </w:numPr>
        <w:pStyle w:val="Compact"/>
      </w:pPr>
      <w:hyperlink w:anchor="Xa423ff8feff6362a5c965699a29946a67a36c23">
        <w:r>
          <w:rPr>
            <w:rStyle w:val="Hyperlink"/>
            <w:lang w:val="en"/>
          </w:rPr>
          <w:t xml:space="preserve">3.7 Compilation Procedure</w:t>
        </w:r>
      </w:hyperlink>
    </w:p>
    <w:p>
      <w:pPr>
        <w:numPr>
          <w:ilvl w:val="1"/>
          <w:numId w:val="1002"/>
        </w:numPr>
        <w:pStyle w:val="Compact"/>
      </w:pPr>
      <w:hyperlink w:anchor="X5073c47cba95ddaf2d0ab1a51056643c8a190ef">
        <w:r>
          <w:rPr>
            <w:rStyle w:val="Hyperlink"/>
            <w:lang w:val="en"/>
          </w:rPr>
          <w:t xml:space="preserve">3.8 Compilation Considerations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Structure and Function of the Ocean Economy (2026) (GOAP Technical Guidance on Ocean Accounting, TG-2.5, v0.9.1). GOAP Secretariat. https://guidance.oceanaccounts.org/circulars/section-2/2-5-ocean-economy-structure/</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working through this Circular, readers will be able to compile indicators characterising the structure and function of the ocean economy: sector composition by industry classification, sectoral shares of gross value added (GVA) and employment, growth and productivity indicators, net ocean GVA adjusted for resource depletion, and trade and investment patterns. The guidance also provides a step-by-step compilation procedure for extracting ocean economy sub-matrices from national supply and use tables and deriving structural indicators from them.</w:t>
      </w:r>
    </w:p>
    <w:p>
      <w:pPr>
        <w:pStyle w:val="BodyText"/>
      </w:pPr>
      <w:r>
        <w:rPr>
          <w:lang w:val="en"/>
        </w:rPr>
        <w:t xml:space="preserve">¶2</w:t>
      </w:r>
      <w:r>
        <w:rPr>
          <w:lang w:val="en"/>
        </w:rPr>
        <w:t xml:space="preserve"> </w:t>
      </w:r>
      <w:r>
        <w:rPr>
          <w:lang w:val="en"/>
        </w:rPr>
        <w:t xml:space="preserve">The guidance responds to high demand from governments seeking to characterise their ocean economies for national budget processes, economic planning, and international reporting—including reporting against Sustainable Development Goal 14 (Life Below Water), particularly target 14.7 on economic benefits from sustainable use of marine resources. These indicators build directly on the ocean economy thematic and extended accounts described in</w:t>
      </w:r>
      <w:r>
        <w:rPr>
          <w:lang w:val="en"/>
        </w:rPr>
        <w:t xml:space="preserve"> </w:t>
      </w:r>
      <w:hyperlink r:id="rId32">
        <w:r>
          <w:rPr>
            <w:rStyle w:val="Hyperlink"/>
            <w:bCs/>
            <w:b/>
            <w:lang w:val="en"/>
          </w:rPr>
          <w:t xml:space="preserve">TG-3.3 Economic Activity Relevant to the Ocean</w:t>
        </w:r>
      </w:hyperlink>
      <w:r>
        <w:rPr>
          <w:lang w:val="en"/>
        </w:rPr>
        <w:t xml:space="preserve"> </w:t>
      </w:r>
      <w:r>
        <w:rPr>
          <w:lang w:val="en"/>
        </w:rPr>
        <w:t xml:space="preserve">and support applications in national budget processes addressed in</w:t>
      </w:r>
      <w:r>
        <w:rPr>
          <w:lang w:val="en"/>
        </w:rPr>
        <w:t xml:space="preserve"> </w:t>
      </w:r>
      <w:hyperlink r:id="rId33">
        <w:r>
          <w:rPr>
            <w:rStyle w:val="Hyperlink"/>
            <w:bCs/>
            <w:b/>
            <w:lang w:val="en"/>
          </w:rPr>
          <w:t xml:space="preserve">TG-1.1 OA and National Budget Processes</w:t>
        </w:r>
      </w:hyperlink>
      <w:r>
        <w:rPr>
          <w:lang w:val="en"/>
        </w:rPr>
        <w:t xml:space="preserve">. The relationship between ocean economy structure and multilateral environmental agreement indicators, including SDG 14, is addressed further in</w:t>
      </w:r>
      <w:r>
        <w:rPr>
          <w:lang w:val="en"/>
        </w:rPr>
        <w:t xml:space="preserve"> </w:t>
      </w:r>
      <w:hyperlink r:id="rId34">
        <w:r>
          <w:rPr>
            <w:rStyle w:val="Hyperlink"/>
            <w:bCs/>
            <w:b/>
            <w:lang w:val="en"/>
          </w:rPr>
          <w:t xml:space="preserve">TG-2.10 MEA Indicators</w:t>
        </w:r>
      </w:hyperlink>
      <w:r>
        <w:rPr>
          <w:lang w:val="en"/>
        </w:rPr>
        <w:t xml:space="preserve">.</w:t>
      </w:r>
    </w:p>
    <w:bookmarkStart w:id="37"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7"/>
    <w:p>
      <w:pPr>
        <w:pStyle w:val="BodyText"/>
      </w:pPr>
      <w:r>
        <w:rPr>
          <w:lang w:val="en"/>
        </w:rPr>
        <w:t xml:space="preserve">¶1</w:t>
      </w:r>
      <w:r>
        <w:rPr>
          <w:lang w:val="en"/>
        </w:rPr>
        <w:t xml:space="preserve"> </w:t>
      </w:r>
      <w:r>
        <w:rPr>
          <w:bCs/>
          <w:b/>
          <w:lang w:val="en"/>
        </w:rPr>
        <w:t xml:space="preserve">Essential prerequisites:</w:t>
      </w:r>
    </w:p>
    <w:p>
      <w:pPr>
        <w:numPr>
          <w:ilvl w:val="0"/>
          <w:numId w:val="1003"/>
        </w:numPr>
        <w:pStyle w:val="Compact"/>
      </w:pPr>
      <w:r>
        <w:rPr>
          <w:lang w:val="en"/>
        </w:rPr>
        <w:t xml:space="preserve">¶2</w:t>
      </w:r>
      <w:r>
        <w:rPr>
          <w:lang w:val="en"/>
        </w:rPr>
        <w:t xml:space="preserve"> </w:t>
      </w:r>
      <w:hyperlink r:id="rId38">
        <w:r>
          <w:rPr>
            <w:rStyle w:val="Hyperlink"/>
            <w:bCs/>
            <w:b/>
            <w:lang w:val="en"/>
          </w:rPr>
          <w:t xml:space="preserve">TG-0.1 General Introduction to Ocean Accounts</w:t>
        </w:r>
      </w:hyperlink>
      <w:r>
        <w:rPr>
          <w:lang w:val="en"/>
        </w:rPr>
        <w:t xml:space="preserve"> </w:t>
      </w:r>
      <w:r>
        <w:rPr>
          <w:lang w:val="en"/>
        </w:rPr>
        <w:t xml:space="preserve">— for the conceptual framework and key components of Ocean Accounts</w:t>
      </w:r>
    </w:p>
    <w:p>
      <w:pPr>
        <w:numPr>
          <w:ilvl w:val="0"/>
          <w:numId w:val="1003"/>
        </w:numPr>
        <w:pStyle w:val="Compact"/>
      </w:pPr>
      <w:r>
        <w:rPr>
          <w:lang w:val="en"/>
        </w:rPr>
        <w:t xml:space="preserve">¶3</w:t>
      </w:r>
      <w:r>
        <w:rPr>
          <w:lang w:val="en"/>
        </w:rPr>
        <w:t xml:space="preserve"> </w:t>
      </w:r>
      <w:hyperlink r:id="rId32">
        <w:r>
          <w:rPr>
            <w:rStyle w:val="Hyperlink"/>
            <w:bCs/>
            <w:b/>
            <w:lang w:val="en"/>
          </w:rPr>
          <w:t xml:space="preserve">TG-3.3 Economic Activity Relevant to the Ocean</w:t>
        </w:r>
      </w:hyperlink>
      <w:r>
        <w:rPr>
          <w:lang w:val="en"/>
        </w:rPr>
        <w:t xml:space="preserve"> </w:t>
      </w:r>
      <w:r>
        <w:rPr>
          <w:lang w:val="en"/>
        </w:rPr>
        <w:t xml:space="preserve">— for the methodological framework for compiling ocean economy thematic and extended accounts, including industry classifications and supply and use tables</w:t>
      </w:r>
    </w:p>
    <w:p>
      <w:pPr>
        <w:pStyle w:val="FirstParagraph"/>
      </w:pPr>
      <w:r>
        <w:rPr>
          <w:lang w:val="en"/>
        </w:rPr>
        <w:t xml:space="preserve">¶4</w:t>
      </w:r>
      <w:r>
        <w:rPr>
          <w:lang w:val="en"/>
        </w:rPr>
        <w:t xml:space="preserve"> </w:t>
      </w:r>
      <w:r>
        <w:rPr>
          <w:bCs/>
          <w:b/>
          <w:lang w:val="en"/>
        </w:rPr>
        <w:t xml:space="preserve">Helpful background:</w:t>
      </w:r>
    </w:p>
    <w:p>
      <w:pPr>
        <w:numPr>
          <w:ilvl w:val="0"/>
          <w:numId w:val="1004"/>
        </w:numPr>
        <w:pStyle w:val="Compact"/>
      </w:pPr>
      <w:r>
        <w:rPr>
          <w:lang w:val="en"/>
        </w:rPr>
        <w:t xml:space="preserve">¶5</w:t>
      </w:r>
      <w:r>
        <w:rPr>
          <w:lang w:val="en"/>
        </w:rPr>
        <w:t xml:space="preserve"> </w:t>
      </w:r>
      <w:hyperlink r:id="rId39">
        <w:r>
          <w:rPr>
            <w:rStyle w:val="Hyperlink"/>
            <w:bCs/>
            <w:b/>
            <w:lang w:val="en"/>
          </w:rPr>
          <w:t xml:space="preserve">TG-0.2 Overview of Relevant Statistical Standards</w:t>
        </w:r>
      </w:hyperlink>
      <w:r>
        <w:rPr>
          <w:lang w:val="en"/>
        </w:rPr>
        <w:t xml:space="preserve"> </w:t>
      </w:r>
      <w:r>
        <w:rPr>
          <w:lang w:val="en"/>
        </w:rPr>
        <w:t xml:space="preserve">— for the international statistical standards underpinning ocean accounting, including the SNA 2025, SEEA, ISIC classification, and the methodological principles that govern thematic and extended accounts</w:t>
      </w:r>
    </w:p>
    <w:p>
      <w:pPr>
        <w:pStyle w:val="FirstParagraph"/>
      </w:pPr>
      <w:r>
        <w:rPr>
          <w:lang w:val="en"/>
        </w:rPr>
        <w:t xml:space="preserve">¶6</w:t>
      </w:r>
      <w:r>
        <w:rPr>
          <w:lang w:val="en"/>
        </w:rPr>
        <w:t xml:space="preserve"> </w:t>
      </w:r>
      <w:r>
        <w:drawing>
          <wp:inline>
            <wp:extent cx="152400" cy="152400"/>
            <wp:effectExtent b="0" l="0" r="0" t="0"/>
            <wp:docPr descr="" title="" id="41"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¶7</w:t>
      </w:r>
      <w:r>
        <w:rPr>
          <w:lang w:val="en"/>
        </w:rPr>
        <w:t xml:space="preserve"> </w:t>
      </w:r>
      <w:r>
        <w:rPr>
          <w:lang w:val="en"/>
        </w:rPr>
        <w:t xml:space="preserve">This Circular addresses how ocean accounts characterise the structure of the ocean economy through monetary flows between economic sectors and ocean-related assets. In the Ocean Accounts Framework (</w:t>
      </w:r>
      <w:hyperlink r:id="rId38">
        <w:r>
          <w:rPr>
            <w:rStyle w:val="Hyperlink"/>
            <w:lang w:val="en"/>
          </w:rPr>
          <w:t xml:space="preserve">TG-0.1 Figure 0.1.2</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Description</w:t>
            </w:r>
          </w:p>
        </w:tc>
      </w:tr>
      <w:tr>
        <w:tc>
          <w:tcPr/>
          <w:p>
            <w:pPr>
              <w:pStyle w:val="Compact"/>
              <w:jc w:val="left"/>
            </w:pPr>
            <w:r>
              <w:rPr>
                <w:lang w:val="en"/>
              </w:rPr>
              <w:t xml:space="preserve">E3</w:t>
            </w:r>
          </w:p>
        </w:tc>
        <w:tc>
          <w:tcPr/>
          <w:p>
            <w:pPr>
              <w:pStyle w:val="Compact"/>
              <w:jc w:val="left"/>
            </w:pPr>
            <w:r>
              <w:rPr>
                <w:lang w:val="en"/>
              </w:rPr>
              <w:t xml:space="preserve">FG1↔SG1</w:t>
            </w:r>
          </w:p>
        </w:tc>
        <w:tc>
          <w:tcPr/>
          <w:p>
            <w:pPr>
              <w:pStyle w:val="Compact"/>
              <w:jc w:val="left"/>
            </w:pPr>
            <w:r>
              <w:rPr>
                <w:lang w:val="en"/>
              </w:rPr>
              <w:t xml:space="preserve">Monetary flows between assets and economic sectors</w:t>
            </w:r>
          </w:p>
        </w:tc>
      </w:tr>
    </w:tbl>
    <w:bookmarkStart w:id="45"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5"/>
    <w:p>
      <w:pPr>
        <w:pStyle w:val="BodyText"/>
      </w:pPr>
      <w:r>
        <w:rPr>
          <w:lang w:val="en"/>
        </w:rPr>
        <w:t xml:space="preserve">¶1</w:t>
      </w:r>
      <w:r>
        <w:rPr>
          <w:lang w:val="en"/>
        </w:rPr>
        <w:t xml:space="preserve"> </w:t>
      </w:r>
      <w:r>
        <w:rPr>
          <w:lang w:val="en"/>
        </w:rPr>
        <w:t xml:space="preserve">Governments preparing national budgets need to demonstrate the ocean economy’s contribution to GDP, employment, and exports (</w:t>
      </w:r>
      <w:hyperlink r:id="rId33">
        <w:r>
          <w:rPr>
            <w:rStyle w:val="Hyperlink"/>
            <w:bCs/>
            <w:b/>
            <w:lang w:val="en"/>
          </w:rPr>
          <w:t xml:space="preserve">TG-1.1 OA and National Budget Processes</w:t>
        </w:r>
      </w:hyperlink>
      <w:r>
        <w:rPr>
          <w:lang w:val="en"/>
        </w:rPr>
        <w:t xml:space="preserve">). Budget officials require quantified evidence of a sector’s contribution to national income and employment to assess the rationale for public expenditure on ocean management, fisheries governance, port infrastructure, and marine environmental protection. The indicators in this Circular provide the analytical tools for these assessments, translating the detailed accounting data compiled under</w:t>
      </w:r>
      <w:r>
        <w:rPr>
          <w:lang w:val="en"/>
        </w:rPr>
        <w:t xml:space="preserve"> </w:t>
      </w:r>
      <w:hyperlink r:id="rId32">
        <w:r>
          <w:rPr>
            <w:rStyle w:val="Hyperlink"/>
            <w:bCs/>
            <w:b/>
            <w:lang w:val="en"/>
          </w:rPr>
          <w:t xml:space="preserve">TG-3.3</w:t>
        </w:r>
      </w:hyperlink>
      <w:r>
        <w:rPr>
          <w:lang w:val="en"/>
        </w:rPr>
        <w:t xml:space="preserve"> </w:t>
      </w:r>
      <w:r>
        <w:rPr>
          <w:lang w:val="en"/>
        </w:rPr>
        <w:t xml:space="preserve">into policy-ready metrics that can populate the budget presentation structures described in TG-1.1 Section 3.3. Specifically, TG-1.1 identifies a four-row indicator structure—GDP contribution, employment, exports, and fish protein supply—that budget submissions should address; the indicator derivation methods in this Circular set out how compilers produce each of these figures from ocean economy accounts.</w:t>
      </w:r>
    </w:p>
    <w:p>
      <w:pPr>
        <w:pStyle w:val="BodyText"/>
      </w:pPr>
      <w:r>
        <w:rPr>
          <w:lang w:val="en"/>
        </w:rPr>
        <w:t xml:space="preserve">¶2</w:t>
      </w:r>
      <w:r>
        <w:rPr>
          <w:lang w:val="en"/>
        </w:rPr>
        <w:t xml:space="preserve"> </w:t>
      </w:r>
      <w:r>
        <w:rPr>
          <w:lang w:val="en"/>
        </w:rPr>
        <w:t xml:space="preserve">This Circular presents a framework for deriving structural and functional indicators from ocean economy accounts. The approach follows established practices from the System of National Accounts (SNA 2025)</w:t>
      </w:r>
      <w:hyperlink w:anchor="user-content-fn-1">
        <w:r>
          <w:rPr>
            <w:rStyle w:val="Hyperlink"/>
            <w:vertAlign w:val="superscript"/>
            <w:lang w:val="en"/>
          </w:rPr>
          <w:t xml:space="preserve">1</w:t>
        </w:r>
      </w:hyperlink>
      <w:r>
        <w:rPr>
          <w:lang w:val="en"/>
        </w:rPr>
        <w:t xml:space="preserve">, draws on analogous approaches developed for tourism in the Statistical Framework for Measuring the Sustainability of Tourism (SF-MST)</w:t>
      </w:r>
      <w:hyperlink w:anchor="user-content-fn-2">
        <w:r>
          <w:rPr>
            <w:rStyle w:val="Hyperlink"/>
            <w:vertAlign w:val="superscript"/>
            <w:lang w:val="en"/>
          </w:rPr>
          <w:t xml:space="preserve">2</w:t>
        </w:r>
      </w:hyperlink>
      <w:r>
        <w:rPr>
          <w:lang w:val="en"/>
        </w:rPr>
        <w:t xml:space="preserve">, and builds on the ocean economy thematic and extended accounting methodology described in the SEEA Ecosystem Accounting</w:t>
      </w:r>
      <w:hyperlink w:anchor="user-content-fn-3">
        <w:r>
          <w:rPr>
            <w:rStyle w:val="Hyperlink"/>
            <w:vertAlign w:val="superscript"/>
            <w:lang w:val="en"/>
          </w:rPr>
          <w:t xml:space="preserve">3</w:t>
        </w:r>
      </w:hyperlink>
      <w:r>
        <w:rPr>
          <w:lang w:val="en"/>
        </w:rPr>
        <w:t xml:space="preserve">. The SF-MST is a useful analogue because, like ocean economy measurement, tourism measurement involves delineating a functional segment of the economy that cuts across multiple ISIC industries rather than corresponding neatly to a single industrial classification, and the indicator derivation approaches developed for tourism can be adapted effectively for ocean economy structural analysis.</w:t>
      </w:r>
    </w:p>
    <w:bookmarkStart w:id="48" w:name="X0403a2d9c1c92215e9d972ca5e882574370709d"/>
    <w:p>
      <w:pPr>
        <w:pStyle w:val="Heading3"/>
      </w:pPr>
      <w:r>
        <w:rPr>
          <w:lang w:val="en"/>
        </w:rPr>
        <w:t xml:space="preserve">3.1</w:t>
      </w:r>
      <w:r>
        <w:rPr>
          <w:lang w:val="en"/>
        </w:rPr>
        <w:t xml:space="preserve"> </w:t>
      </w:r>
      <w:r>
        <w:rPr>
          <w:lang w:val="en"/>
        </w:rPr>
        <w:t xml:space="preserve">Ocean Economy Structure Framework</w:t>
      </w:r>
    </w:p>
    <w:p>
      <w:pPr>
        <w:pStyle w:val="FirstParagraph"/>
      </w:pPr>
      <w:hyperlink w:anchor="X0403a2d9c1c92215e9d972ca5e882574370709d">
        <w:r>
          <w:drawing>
            <wp:inline>
              <wp:extent cx="152400" cy="152400"/>
              <wp:effectExtent b="0" l="0" r="0" t="0"/>
              <wp:docPr descr="" title="" id="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Ocean Economy Structure Framework”</w:t>
        </w:r>
      </w:hyperlink>
    </w:p>
    <w:bookmarkEnd w:id="48"/>
    <w:p>
      <w:pPr>
        <w:pStyle w:val="BodyText"/>
      </w:pPr>
      <w:r>
        <w:rPr>
          <w:lang w:val="en"/>
        </w:rPr>
        <w:t xml:space="preserve">¶1</w:t>
      </w:r>
      <w:r>
        <w:rPr>
          <w:lang w:val="en"/>
        </w:rPr>
        <w:t xml:space="preserve"> </w:t>
      </w:r>
      <w:r>
        <w:rPr>
          <w:lang w:val="en"/>
        </w:rPr>
        <w:t xml:space="preserve">The structure of the ocean economy describes how economic activity is distributed across different industries, products, and institutional sectors. A full structural analysis enables comparison of the ocean economy to the broader national economy, identification of dominant and emerging sectors, and assessment of concentration and diversification. Figure 2.5.1 illustrates the end-to-end data pipeline that produces these structural indicators, from raw statistical inputs through harmonisation and the supply-use table to the indicators reported in budget and MEA applications.</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0" name="Picture"/>
                  <a:graphic>
                    <a:graphicData uri="http://schemas.openxmlformats.org/drawingml/2006/picture">
                      <pic:pic>
                        <pic:nvPicPr>
                          <pic:cNvPr descr="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"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2.5.1</w:t>
            </w:r>
            <w:r>
              <w:rPr>
                <w:lang w:val="en"/>
              </w:rPr>
              <w:t xml:space="preserve"> </w:t>
            </w:r>
            <w:r>
              <w:rPr>
                <w:lang w:val="en"/>
              </w:rPr>
              <w:t xml:space="preserve">National statistical inputs flow through collection and harmonisation into a supply-use table that yields ocean economy indicators. Five first-order aggregates (output, GVA, employment, exports, GFCF) feed budget and MEA uses; second-order indicators sit downstream.</w:t>
            </w:r>
            <w:r>
              <w:rPr>
                <w:lang w:val="en"/>
              </w:rPr>
              <w:t xml:space="preserve"> </w:t>
            </w:r>
            <w:r>
              <w:rPr>
                <w:lang w:val="en"/>
              </w:rPr>
              <w:t xml:space="preserve">Source:</w:t>
            </w:r>
            <w:r>
              <w:rPr>
                <w:lang w:val="en"/>
              </w:rPr>
              <w:t xml:space="preserve"> </w:t>
            </w:r>
            <w:r>
              <w:rPr>
                <w:lang w:val="en"/>
              </w:rPr>
              <w:t xml:space="preserve">TG-2.5 draft §3.1 (Supply-Use Table to indicator derivation trace) and §3.7 (compilation procedure / data pipeline); SNA 2025 Ch.15 (supply and use tables) and Ch.7 (production account); ISIC Rev.4 (UN 2008) for ocean industry classification.</w:t>
            </w:r>
            <w:r>
              <w:rPr>
                <w:lang w:val="en"/>
              </w:rPr>
              <w:t xml:space="preserve"> </w:t>
            </w:r>
            <w:r>
              <w:rPr>
                <w:lang w:val="en"/>
              </w:rPr>
              <w:t xml:space="preserve">Adapted from:</w:t>
            </w:r>
            <w:r>
              <w:rPr>
                <w:lang w:val="en"/>
              </w:rPr>
              <w:t xml:space="preserve"> </w:t>
            </w:r>
            <w:r>
              <w:rPr>
                <w:lang w:val="en"/>
              </w:rPr>
              <w:t xml:space="preserve">SF-MST (UNWTO 2024) tourism measurement framework -- the draft's primary methodological analogue; OECD</w:t>
            </w:r>
            <w:r>
              <w:rPr>
                <w:lang w:val="en"/>
              </w:rPr>
              <w:t xml:space="preserve"> </w:t>
            </w:r>
            <w:r>
              <w:rPr>
                <w:iCs/>
                <w:i/>
                <w:lang w:val="en"/>
              </w:rPr>
              <w:t xml:space="preserve">The Ocean Economy in 2030</w:t>
            </w:r>
            <w:r>
              <w:rPr>
                <w:lang w:val="en"/>
              </w:rPr>
              <w:t xml:space="preserve"> </w:t>
            </w:r>
            <w:r>
              <w:rPr>
                <w:lang w:val="en"/>
              </w:rPr>
              <w:t xml:space="preserve">(2016).</w:t>
            </w:r>
          </w:p>
        </w:tc>
      </w:tr>
    </w:tbl>
    <w:bookmarkStart w:id="54" w:name="related-terminology"/>
    <w:p>
      <w:pPr>
        <w:pStyle w:val="Heading4"/>
      </w:pPr>
      <w:r>
        <w:rPr>
          <w:lang w:val="en"/>
        </w:rPr>
        <w:t xml:space="preserve">Related terminology</w:t>
      </w:r>
    </w:p>
    <w:p>
      <w:pPr>
        <w:pStyle w:val="FirstParagraph"/>
      </w:pPr>
      <w:hyperlink w:anchor="related-terminology">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“Related terminology”</w:t>
        </w:r>
      </w:hyperlink>
    </w:p>
    <w:bookmarkEnd w:id="54"/>
    <w:p>
      <w:pPr>
        <w:pStyle w:val="BodyText"/>
      </w:pPr>
      <w:r>
        <w:rPr>
          <w:lang w:val="en"/>
        </w:rPr>
        <w:t xml:space="preserve">¶1</w:t>
      </w:r>
      <w:r>
        <w:rPr>
          <w:lang w:val="en"/>
        </w:rPr>
        <w:t xml:space="preserve"> </w:t>
      </w:r>
      <w:r>
        <w:rPr>
          <w:iCs/>
          <w:i/>
          <w:lang w:val="en"/>
        </w:rPr>
        <w:t xml:space="preserve">Ocean economy</w:t>
      </w:r>
      <w:r>
        <w:rPr>
          <w:lang w:val="en"/>
        </w:rPr>
        <w:t xml:space="preserve">,</w:t>
      </w:r>
      <w:r>
        <w:rPr>
          <w:lang w:val="en"/>
        </w:rPr>
        <w:t xml:space="preserve"> </w:t>
      </w:r>
      <w:r>
        <w:rPr>
          <w:iCs/>
          <w:i/>
          <w:lang w:val="en"/>
        </w:rPr>
        <w:t xml:space="preserve">marine economy</w:t>
      </w:r>
      <w:r>
        <w:rPr>
          <w:lang w:val="en"/>
        </w:rPr>
        <w:t xml:space="preserve">,</w:t>
      </w:r>
      <w:r>
        <w:rPr>
          <w:lang w:val="en"/>
        </w:rPr>
        <w:t xml:space="preserve"> </w:t>
      </w:r>
      <w:r>
        <w:rPr>
          <w:iCs/>
          <w:i/>
          <w:lang w:val="en"/>
        </w:rPr>
        <w:t xml:space="preserve">blue economy</w:t>
      </w:r>
      <w:r>
        <w:rPr>
          <w:lang w:val="en"/>
        </w:rPr>
        <w:t xml:space="preserve"> </w:t>
      </w:r>
      <w:r>
        <w:rPr>
          <w:lang w:val="en"/>
        </w:rPr>
        <w:t xml:space="preserve">and</w:t>
      </w:r>
      <w:r>
        <w:rPr>
          <w:lang w:val="en"/>
        </w:rPr>
        <w:t xml:space="preserve"> </w:t>
      </w:r>
      <w:r>
        <w:rPr>
          <w:iCs/>
          <w:i/>
          <w:lang w:val="en"/>
        </w:rPr>
        <w:t xml:space="preserve">sustainable ocean economy</w:t>
      </w:r>
      <w:r>
        <w:rPr>
          <w:lang w:val="en"/>
        </w:rPr>
        <w:t xml:space="preserve"> </w:t>
      </w:r>
      <w:r>
        <w:rPr>
          <w:lang w:val="en"/>
        </w:rPr>
        <w:t xml:space="preserve">are not interchangeable, and the distinctions between them are set out in</w:t>
      </w:r>
      <w:r>
        <w:rPr>
          <w:lang w:val="en"/>
        </w:rPr>
        <w:t xml:space="preserve"> </w:t>
      </w:r>
      <w:hyperlink r:id="rId55">
        <w:r>
          <w:rPr>
            <w:rStyle w:val="Hyperlink"/>
            <w:bCs/>
            <w:b/>
            <w:lang w:val="en"/>
          </w:rPr>
          <w:t xml:space="preserve">TG-1.0 Ocean Accounting and the Blue/Ocean Economy</w:t>
        </w:r>
      </w:hyperlink>
      <w:r>
        <w:rPr>
          <w:lang w:val="en"/>
        </w:rPr>
        <w:t xml:space="preserve"> </w:t>
      </w:r>
      <w:r>
        <w:rPr>
          <w:lang w:val="en"/>
        </w:rPr>
        <w:t xml:space="preserve">Section 3.2, together with the rule that a published account must disclose which term it uses. The indicators in this Circular measure the</w:t>
      </w:r>
      <w:r>
        <w:rPr>
          <w:lang w:val="en"/>
        </w:rPr>
        <w:t xml:space="preserve"> </w:t>
      </w:r>
      <w:r>
        <w:rPr>
          <w:bCs/>
          <w:b/>
          <w:lang w:val="en"/>
        </w:rPr>
        <w:t xml:space="preserve">ocean economy</w:t>
      </w:r>
      <w:r>
        <w:rPr>
          <w:lang w:val="en"/>
        </w:rPr>
        <w:t xml:space="preserve"> </w:t>
      </w:r>
      <w:r>
        <w:rPr>
          <w:lang w:val="en"/>
        </w:rPr>
        <w:t xml:space="preserve">as scoped in</w:t>
      </w:r>
      <w:r>
        <w:rPr>
          <w:lang w:val="en"/>
        </w:rPr>
        <w:t xml:space="preserve"> </w:t>
      </w:r>
      <w:hyperlink r:id="rId32">
        <w:r>
          <w:rPr>
            <w:rStyle w:val="Hyperlink"/>
            <w:bCs/>
            <w:b/>
            <w:lang w:val="en"/>
          </w:rPr>
          <w:t xml:space="preserve">TG-3.3</w:t>
        </w:r>
      </w:hyperlink>
      <w:r>
        <w:rPr>
          <w:lang w:val="en"/>
        </w:rPr>
        <w:t xml:space="preserve">. They support blue economy reporting but do not by themselves constitute a blue economy account — see TG-1.0 Section 3.3 for what an account can and cannot certify.</w:t>
      </w:r>
    </w:p>
    <w:bookmarkStart w:id="58" w:name="analytical-dimensions"/>
    <w:p>
      <w:pPr>
        <w:pStyle w:val="Heading4"/>
      </w:pPr>
      <w:r>
        <w:rPr>
          <w:lang w:val="en"/>
        </w:rPr>
        <w:t xml:space="preserve">Analytical dimensions</w:t>
      </w:r>
    </w:p>
    <w:p>
      <w:pPr>
        <w:pStyle w:val="FirstParagraph"/>
      </w:pPr>
      <w:hyperlink w:anchor="analytical-dimensions">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“Analytical dimensions”</w:t>
        </w:r>
      </w:hyperlink>
    </w:p>
    <w:bookmarkEnd w:id="58"/>
    <w:p>
      <w:pPr>
        <w:pStyle w:val="BodyText"/>
      </w:pPr>
      <w:r>
        <w:rPr>
          <w:lang w:val="en"/>
        </w:rPr>
        <w:t xml:space="preserve">¶1</w:t>
      </w:r>
      <w:r>
        <w:rPr>
          <w:lang w:val="en"/>
        </w:rPr>
        <w:t xml:space="preserve"> </w:t>
      </w:r>
      <w:r>
        <w:rPr>
          <w:lang w:val="en"/>
        </w:rPr>
        <w:t xml:space="preserve">Structural analysis of the ocean economy operates across four key dimensions</w:t>
      </w:r>
      <w:hyperlink w:anchor="user-content-fn-4">
        <w:r>
          <w:rPr>
            <w:rStyle w:val="Hyperlink"/>
            <w:vertAlign w:val="superscript"/>
            <w:lang w:val="en"/>
          </w:rPr>
          <w:t xml:space="preserve">4</w:t>
        </w:r>
      </w:hyperlink>
      <w:r>
        <w:rPr>
          <w:lang w:val="en"/>
        </w:rPr>
        <w:t xml:space="preserve">:</w:t>
      </w:r>
    </w:p>
    <w:p>
      <w:pPr>
        <w:numPr>
          <w:ilvl w:val="0"/>
          <w:numId w:val="1005"/>
        </w:numPr>
      </w:pPr>
      <w:r>
        <w:rPr>
          <w:lang w:val="en"/>
        </w:rPr>
        <w:t xml:space="preserve">¶2</w:t>
      </w:r>
      <w:r>
        <w:rPr>
          <w:lang w:val="en"/>
        </w:rPr>
        <w:t xml:space="preserve"> </w:t>
      </w:r>
    </w:p>
    <w:p>
      <w:pPr>
        <w:numPr>
          <w:ilvl w:val="0"/>
          <w:numId w:val="1000"/>
        </w:numPr>
      </w:pPr>
      <w:r>
        <w:rPr>
          <w:bCs/>
          <w:b/>
          <w:lang w:val="en"/>
        </w:rPr>
        <w:t xml:space="preserve">Industry composition</w:t>
      </w:r>
      <w:r>
        <w:rPr>
          <w:lang w:val="en"/>
        </w:rPr>
        <w:t xml:space="preserve"> </w:t>
      </w:r>
      <w:r>
        <w:rPr>
          <w:lang w:val="en"/>
        </w:rPr>
        <w:t xml:space="preserve">— the distribution of ocean economic activity across industries classified according to ISIC, revealing which types of production dominate the ocean economy (e.g., fishing, shipping, offshore energy)</w:t>
      </w:r>
    </w:p>
    <w:p>
      <w:pPr>
        <w:numPr>
          <w:ilvl w:val="0"/>
          <w:numId w:val="1005"/>
        </w:numPr>
      </w:pPr>
      <w:r>
        <w:rPr>
          <w:lang w:val="en"/>
        </w:rPr>
        <w:t xml:space="preserve">¶3</w:t>
      </w:r>
      <w:r>
        <w:rPr>
          <w:lang w:val="en"/>
        </w:rPr>
        <w:t xml:space="preserve"> </w:t>
      </w:r>
    </w:p>
    <w:p>
      <w:pPr>
        <w:numPr>
          <w:ilvl w:val="0"/>
          <w:numId w:val="1000"/>
        </w:numPr>
      </w:pPr>
      <w:r>
        <w:rPr>
          <w:bCs/>
          <w:b/>
          <w:lang w:val="en"/>
        </w:rPr>
        <w:t xml:space="preserve">Product composition</w:t>
      </w:r>
      <w:r>
        <w:rPr>
          <w:lang w:val="en"/>
        </w:rPr>
        <w:t xml:space="preserve"> </w:t>
      </w:r>
      <w:r>
        <w:rPr>
          <w:lang w:val="en"/>
        </w:rPr>
        <w:t xml:space="preserve">— the distribution of ocean-characteristic products according to CPC, revealing what goods and services the ocean economy produces</w:t>
      </w:r>
    </w:p>
    <w:p>
      <w:pPr>
        <w:numPr>
          <w:ilvl w:val="0"/>
          <w:numId w:val="1005"/>
        </w:numPr>
      </w:pPr>
      <w:r>
        <w:rPr>
          <w:lang w:val="en"/>
        </w:rPr>
        <w:t xml:space="preserve">¶4</w:t>
      </w:r>
      <w:r>
        <w:rPr>
          <w:lang w:val="en"/>
        </w:rPr>
        <w:t xml:space="preserve"> </w:t>
      </w:r>
    </w:p>
    <w:p>
      <w:pPr>
        <w:numPr>
          <w:ilvl w:val="0"/>
          <w:numId w:val="1000"/>
        </w:numPr>
      </w:pPr>
      <w:r>
        <w:rPr>
          <w:bCs/>
          <w:b/>
          <w:lang w:val="en"/>
        </w:rPr>
        <w:t xml:space="preserve">Institutional sector composition</w:t>
      </w:r>
      <w:r>
        <w:rPr>
          <w:lang w:val="en"/>
        </w:rPr>
        <w:t xml:space="preserve"> </w:t>
      </w:r>
      <w:r>
        <w:rPr>
          <w:lang w:val="en"/>
        </w:rPr>
        <w:t xml:space="preserve">— the distribution of ocean economic activity by institutional sector (corporations, government, households, non-profit institutions), revealing ownership and control patterns</w:t>
      </w:r>
    </w:p>
    <w:p>
      <w:pPr>
        <w:numPr>
          <w:ilvl w:val="0"/>
          <w:numId w:val="1005"/>
        </w:numPr>
      </w:pPr>
      <w:r>
        <w:rPr>
          <w:lang w:val="en"/>
        </w:rPr>
        <w:t xml:space="preserve">¶5</w:t>
      </w:r>
      <w:r>
        <w:rPr>
          <w:lang w:val="en"/>
        </w:rPr>
        <w:t xml:space="preserve"> </w:t>
      </w:r>
    </w:p>
    <w:p>
      <w:pPr>
        <w:numPr>
          <w:ilvl w:val="0"/>
          <w:numId w:val="1000"/>
        </w:numPr>
      </w:pPr>
      <w:r>
        <w:rPr>
          <w:bCs/>
          <w:b/>
          <w:lang w:val="en"/>
        </w:rPr>
        <w:t xml:space="preserve">Spatial composition</w:t>
      </w:r>
      <w:r>
        <w:rPr>
          <w:lang w:val="en"/>
        </w:rPr>
        <w:t xml:space="preserve"> </w:t>
      </w:r>
      <w:r>
        <w:rPr>
          <w:lang w:val="en"/>
        </w:rPr>
        <w:t xml:space="preserve">— the distribution of ocean economic activity across regions or coastal zones, revealing geographic concentration and regional dependencies. Spatial analysis connects to the treatment of coastal tourism in</w:t>
      </w:r>
      <w:r>
        <w:rPr>
          <w:lang w:val="en"/>
        </w:rPr>
        <w:t xml:space="preserve"> </w:t>
      </w:r>
      <w:hyperlink r:id="rId32">
        <w:r>
          <w:rPr>
            <w:rStyle w:val="Hyperlink"/>
            <w:bCs/>
            <w:b/>
            <w:lang w:val="en"/>
          </w:rPr>
          <w:t xml:space="preserve">TG-3.3</w:t>
        </w:r>
      </w:hyperlink>
      <w:r>
        <w:rPr>
          <w:lang w:val="en"/>
        </w:rPr>
        <w:t xml:space="preserve"> </w:t>
      </w:r>
      <w:r>
        <w:rPr>
          <w:lang w:val="en"/>
        </w:rPr>
        <w:t xml:space="preserve">Section 3.4 and may inform future guidance on regional ocean accounts compilation</w:t>
      </w:r>
      <w:hyperlink w:anchor="user-content-fn-5">
        <w:r>
          <w:rPr>
            <w:rStyle w:val="Hyperlink"/>
            <w:vertAlign w:val="superscript"/>
            <w:lang w:val="en"/>
          </w:rPr>
          <w:t xml:space="preserve">5</w:t>
        </w:r>
      </w:hyperlink>
      <w:r>
        <w:rPr>
          <w:lang w:val="en"/>
        </w:rPr>
        <w:t xml:space="preserve">.</w:t>
      </w:r>
    </w:p>
    <w:bookmarkStart w:id="61" w:name="geographic-boundaries"/>
    <w:p>
      <w:pPr>
        <w:pStyle w:val="Heading4"/>
      </w:pPr>
      <w:r>
        <w:rPr>
          <w:lang w:val="en"/>
        </w:rPr>
        <w:t xml:space="preserve">Geographic boundaries</w:t>
      </w:r>
    </w:p>
    <w:p>
      <w:pPr>
        <w:pStyle w:val="FirstParagraph"/>
      </w:pPr>
      <w:hyperlink w:anchor="geographic-boundaries">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“Geographic boundaries”</w:t>
        </w:r>
      </w:hyperlink>
    </w:p>
    <w:bookmarkEnd w:id="61"/>
    <w:p>
      <w:pPr>
        <w:pStyle w:val="BodyText"/>
      </w:pPr>
      <w:r>
        <w:rPr>
          <w:lang w:val="en"/>
        </w:rPr>
        <w:t xml:space="preserve">¶1</w:t>
      </w:r>
      <w:r>
        <w:rPr>
          <w:lang w:val="en"/>
        </w:rPr>
        <w:t xml:space="preserve"> </w:t>
      </w:r>
      <w:r>
        <w:drawing>
          <wp:inline>
            <wp:extent cx="152400" cy="152400"/>
            <wp:effectExtent b="0" l="0" r="0" t="0"/>
            <wp:docPr descr="" title="" id="62"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Geographic Boundary Decisions</w:t>
      </w:r>
    </w:p>
    <w:p>
      <w:pPr>
        <w:pStyle w:val="BodyText"/>
      </w:pPr>
      <w:r>
        <w:rPr>
          <w:lang w:val="en"/>
        </w:rPr>
        <w:t xml:space="preserve">¶2</w:t>
      </w:r>
      <w:r>
        <w:rPr>
          <w:lang w:val="en"/>
        </w:rPr>
        <w:t xml:space="preserve"> </w:t>
      </w:r>
      <w:r>
        <w:rPr>
          <w:lang w:val="en"/>
        </w:rPr>
        <w:t xml:space="preserve">The geographic definition of the ocean economy requires both a seaward boundary and an inland boundary, and both are settled in the account rather than in the indicators derived from it. The seaward boundary is normally the 200-nautical-mile Exclusive Economic Zone established under the United Nations Convention on the Law of the Sea (UNCLOS 1982). The inland boundary is a country-specific decision, set out with its documentation and disclosure requirements in</w:t>
      </w:r>
      <w:r>
        <w:rPr>
          <w:lang w:val="en"/>
        </w:rPr>
        <w:t xml:space="preserve"> </w:t>
      </w:r>
      <w:hyperlink r:id="rId32">
        <w:r>
          <w:rPr>
            <w:rStyle w:val="Hyperlink"/>
            <w:bCs/>
            <w:b/>
            <w:lang w:val="en"/>
          </w:rPr>
          <w:t xml:space="preserve">TG-3.3</w:t>
        </w:r>
      </w:hyperlink>
      <w:r>
        <w:rPr>
          <w:lang w:val="en"/>
        </w:rPr>
        <w:t xml:space="preserve"> </w:t>
      </w:r>
      <w:r>
        <w:rPr>
          <w:lang w:val="en"/>
        </w:rPr>
        <w:t xml:space="preserve">Section 3.2.</w:t>
      </w:r>
    </w:p>
    <w:p>
      <w:pPr>
        <w:pStyle w:val="BodyText"/>
      </w:pPr>
      <w:r>
        <w:rPr>
          <w:lang w:val="en"/>
        </w:rPr>
        <w:t xml:space="preserve">¶3</w:t>
      </w:r>
      <w:r>
        <w:rPr>
          <w:lang w:val="en"/>
        </w:rPr>
        <w:t xml:space="preserve"> </w:t>
      </w:r>
      <w:r>
        <w:rPr>
          <w:lang w:val="en"/>
        </w:rPr>
        <w:t xml:space="preserve">For the indicators below, two consequences follow. A share computed on one country’s boundary is not comparable with the same share computed on another’s unless both disclose the boundary they applied. A boundary that moves between reference periods makes the trend in an indicator uninterpretable, whether or not the level is correct in each period</w:t>
      </w:r>
      <w:hyperlink w:anchor="user-content-fn-29">
        <w:r>
          <w:rPr>
            <w:rStyle w:val="Hyperlink"/>
            <w:vertAlign w:val="superscript"/>
            <w:lang w:val="en"/>
          </w:rPr>
          <w:t xml:space="preserve">6</w:t>
        </w:r>
      </w:hyperlink>
      <w:r>
        <w:rPr>
          <w:lang w:val="en"/>
        </w:rPr>
        <w:t xml:space="preserve">.</w:t>
      </w:r>
    </w:p>
    <w:bookmarkStart w:id="66" w:name="Xe24736128769b723fd6b638faba322ab963c6da"/>
    <w:p>
      <w:pPr>
        <w:pStyle w:val="Heading4"/>
      </w:pPr>
      <w:r>
        <w:rPr>
          <w:lang w:val="en"/>
        </w:rPr>
        <w:t xml:space="preserve">Relationship to thematic and extended accounts</w:t>
      </w:r>
    </w:p>
    <w:p>
      <w:pPr>
        <w:pStyle w:val="FirstParagraph"/>
      </w:pPr>
      <w:hyperlink w:anchor="Xe24736128769b723fd6b638faba322ab963c6da">
        <w:r>
          <w:drawing>
            <wp:inline>
              <wp:extent cx="152400" cy="152400"/>
              <wp:effectExtent b="0" l="0" r="0" t="0"/>
              <wp:docPr descr="" title="" id="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“Relationship to thematic and extended accounts”</w:t>
        </w:r>
      </w:hyperlink>
    </w:p>
    <w:bookmarkEnd w:id="66"/>
    <w:p>
      <w:pPr>
        <w:pStyle w:val="BodyText"/>
      </w:pPr>
      <w:r>
        <w:rPr>
          <w:lang w:val="en"/>
        </w:rPr>
        <w:t xml:space="preserve">¶1</w:t>
      </w:r>
      <w:r>
        <w:rPr>
          <w:lang w:val="en"/>
        </w:rPr>
        <w:t xml:space="preserve"> </w:t>
      </w:r>
      <w:r>
        <w:rPr>
          <w:lang w:val="en"/>
        </w:rPr>
        <w:t xml:space="preserve">Structural indicators are derived from the ocean economy thematic and extended accounts described in</w:t>
      </w:r>
      <w:r>
        <w:rPr>
          <w:lang w:val="en"/>
        </w:rPr>
        <w:t xml:space="preserve"> </w:t>
      </w:r>
      <w:hyperlink r:id="rId32">
        <w:r>
          <w:rPr>
            <w:rStyle w:val="Hyperlink"/>
            <w:bCs/>
            <w:b/>
            <w:lang w:val="en"/>
          </w:rPr>
          <w:t xml:space="preserve">TG-3.3 Economic Activity Relevant to the Ocean</w:t>
        </w:r>
      </w:hyperlink>
      <w:r>
        <w:rPr>
          <w:lang w:val="en"/>
        </w:rPr>
        <w:t xml:space="preserve">. For the thematic and extended accounts framework (SNA 2025 Chapter 38), see</w:t>
      </w:r>
      <w:r>
        <w:rPr>
          <w:lang w:val="en"/>
        </w:rPr>
        <w:t xml:space="preserve"> </w:t>
      </w:r>
      <w:hyperlink r:id="rId39">
        <w:r>
          <w:rPr>
            <w:rStyle w:val="Hyperlink"/>
            <w:bCs/>
            <w:b/>
            <w:lang w:val="en"/>
          </w:rPr>
          <w:t xml:space="preserve">TG-0.2 Standards and Frameworks</w:t>
        </w:r>
      </w:hyperlink>
      <w:r>
        <w:rPr>
          <w:lang w:val="en"/>
        </w:rPr>
        <w:t xml:space="preserve">. The ocean economy accounts described in this Circular are thematic accounts in the SNA 2025 sense: they disaggregate and rearrange items within the integrated framework of national accounts. The supply and use tables (SUTs) compiled for the ocean economy provide the ‘data foundation’ for structural analysis</w:t>
      </w:r>
      <w:hyperlink w:anchor="user-content-fn-7">
        <w:r>
          <w:rPr>
            <w:rStyle w:val="Hyperlink"/>
            <w:vertAlign w:val="superscript"/>
            <w:lang w:val="en"/>
          </w:rPr>
          <w:t xml:space="preserve">7</w:t>
        </w:r>
      </w:hyperlink>
      <w:r>
        <w:rPr>
          <w:lang w:val="en"/>
        </w:rPr>
        <w:t xml:space="preserve">. From balanced SUTs, the following can be derived:</w:t>
      </w:r>
    </w:p>
    <w:p>
      <w:pPr>
        <w:numPr>
          <w:ilvl w:val="0"/>
          <w:numId w:val="1006"/>
        </w:numPr>
        <w:pStyle w:val="Compact"/>
      </w:pPr>
      <w:r>
        <w:rPr>
          <w:lang w:val="en"/>
        </w:rPr>
        <w:t xml:space="preserve">¶2</w:t>
      </w:r>
      <w:r>
        <w:rPr>
          <w:lang w:val="en"/>
        </w:rPr>
        <w:t xml:space="preserve"> </w:t>
      </w:r>
      <w:r>
        <w:rPr>
          <w:lang w:val="en"/>
        </w:rPr>
        <w:t xml:space="preserve">Output by industry and product</w:t>
      </w:r>
    </w:p>
    <w:p>
      <w:pPr>
        <w:numPr>
          <w:ilvl w:val="0"/>
          <w:numId w:val="1006"/>
        </w:numPr>
        <w:pStyle w:val="Compact"/>
      </w:pPr>
      <w:r>
        <w:rPr>
          <w:lang w:val="en"/>
        </w:rPr>
        <w:t xml:space="preserve">¶3</w:t>
      </w:r>
      <w:r>
        <w:rPr>
          <w:lang w:val="en"/>
        </w:rPr>
        <w:t xml:space="preserve"> </w:t>
      </w:r>
      <w:r>
        <w:rPr>
          <w:lang w:val="en"/>
        </w:rPr>
        <w:t xml:space="preserve">Gross value added by industry</w:t>
      </w:r>
    </w:p>
    <w:p>
      <w:pPr>
        <w:numPr>
          <w:ilvl w:val="0"/>
          <w:numId w:val="1006"/>
        </w:numPr>
        <w:pStyle w:val="Compact"/>
      </w:pPr>
      <w:r>
        <w:rPr>
          <w:lang w:val="en"/>
        </w:rPr>
        <w:t xml:space="preserve">¶4</w:t>
      </w:r>
      <w:r>
        <w:rPr>
          <w:lang w:val="en"/>
        </w:rPr>
        <w:t xml:space="preserve"> </w:t>
      </w:r>
      <w:r>
        <w:rPr>
          <w:lang w:val="en"/>
        </w:rPr>
        <w:t xml:space="preserve">Employment by industry</w:t>
      </w:r>
    </w:p>
    <w:p>
      <w:pPr>
        <w:numPr>
          <w:ilvl w:val="0"/>
          <w:numId w:val="1006"/>
        </w:numPr>
        <w:pStyle w:val="Compact"/>
      </w:pPr>
      <w:r>
        <w:rPr>
          <w:lang w:val="en"/>
        </w:rPr>
        <w:t xml:space="preserve">¶5</w:t>
      </w:r>
      <w:r>
        <w:rPr>
          <w:lang w:val="en"/>
        </w:rPr>
        <w:t xml:space="preserve"> </w:t>
      </w:r>
      <w:r>
        <w:rPr>
          <w:lang w:val="en"/>
        </w:rPr>
        <w:t xml:space="preserve">Imports and exports of ocean-characteristic products</w:t>
      </w:r>
    </w:p>
    <w:p>
      <w:pPr>
        <w:numPr>
          <w:ilvl w:val="0"/>
          <w:numId w:val="1006"/>
        </w:numPr>
        <w:pStyle w:val="Compact"/>
      </w:pPr>
      <w:r>
        <w:rPr>
          <w:lang w:val="en"/>
        </w:rPr>
        <w:t xml:space="preserve">¶6</w:t>
      </w:r>
      <w:r>
        <w:rPr>
          <w:lang w:val="en"/>
        </w:rPr>
        <w:t xml:space="preserve"> </w:t>
      </w:r>
      <w:r>
        <w:rPr>
          <w:lang w:val="en"/>
        </w:rPr>
        <w:t xml:space="preserve">Gross fixed capital formation by industry</w:t>
      </w:r>
    </w:p>
    <w:p>
      <w:pPr>
        <w:pStyle w:val="FirstParagraph"/>
      </w:pPr>
      <w:r>
        <w:rPr>
          <w:lang w:val="en"/>
        </w:rPr>
        <w:t xml:space="preserve">¶7</w:t>
      </w:r>
      <w:r>
        <w:rPr>
          <w:lang w:val="en"/>
        </w:rPr>
        <w:t xml:space="preserve"> </w:t>
      </w:r>
      <w:r>
        <w:rPr>
          <w:lang w:val="en"/>
        </w:rPr>
        <w:t xml:space="preserve">These aggregates form the basis for the indicators presented in subsequent sections.</w:t>
      </w:r>
    </w:p>
    <w:bookmarkStart w:id="69" w:name="construction-methods"/>
    <w:p>
      <w:pPr>
        <w:pStyle w:val="Heading4"/>
      </w:pPr>
      <w:r>
        <w:rPr>
          <w:lang w:val="en"/>
        </w:rPr>
        <w:t xml:space="preserve">Construction methods</w:t>
      </w:r>
    </w:p>
    <w:p>
      <w:pPr>
        <w:pStyle w:val="FirstParagraph"/>
      </w:pPr>
      <w:hyperlink w:anchor="construction-methods">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“Construction methods”</w:t>
        </w:r>
      </w:hyperlink>
    </w:p>
    <w:bookmarkEnd w:id="69"/>
    <w:p>
      <w:pPr>
        <w:pStyle w:val="BodyText"/>
      </w:pPr>
      <w:r>
        <w:rPr>
          <w:lang w:val="en"/>
        </w:rPr>
        <w:t xml:space="preserve">¶1</w:t>
      </w:r>
      <w:r>
        <w:rPr>
          <w:lang w:val="en"/>
        </w:rPr>
        <w:t xml:space="preserve"> </w:t>
      </w:r>
      <w:r>
        <w:rPr>
          <w:lang w:val="en"/>
        </w:rPr>
        <w:t xml:space="preserve">Ocean economy accounts can be constructed using two approaches, which differ in data requirements and analytical scope</w:t>
      </w:r>
      <w:hyperlink w:anchor="user-content-fn-29">
        <w:r>
          <w:rPr>
            <w:rStyle w:val="Hyperlink"/>
            <w:vertAlign w:val="superscript"/>
            <w:lang w:val="en"/>
          </w:rPr>
          <w:t xml:space="preserve">6</w:t>
        </w:r>
      </w:hyperlink>
      <w:r>
        <w:rPr>
          <w:lang w:val="en"/>
        </w:rPr>
        <w:t xml:space="preserve">:</w:t>
      </w:r>
    </w:p>
    <w:p>
      <w:pPr>
        <w:pStyle w:val="BodyText"/>
      </w:pPr>
      <w:r>
        <w:rPr>
          <w:lang w:val="en"/>
        </w:rPr>
        <w:t xml:space="preserve">¶2</w:t>
      </w:r>
      <w:r>
        <w:rPr>
          <w:lang w:val="en"/>
        </w:rPr>
        <w:t xml:space="preserve"> </w:t>
      </w:r>
      <w:r>
        <w:rPr>
          <w:bCs/>
          <w:b/>
          <w:lang w:val="en"/>
        </w:rPr>
        <w:t xml:space="preserve">Type 1 (thematic approach)</w:t>
      </w:r>
      <w:r>
        <w:rPr>
          <w:lang w:val="en"/>
        </w:rPr>
        <w:t xml:space="preserve"> </w:t>
      </w:r>
      <w:r>
        <w:rPr>
          <w:lang w:val="en"/>
        </w:rPr>
        <w:t xml:space="preserve">selects value-added data for designated ocean industries directly from existing national accounts production data. Each ocean industry’s GVA is identified from the national production account and reported separately. This approach is lighter-weight, appropriate where fully balanced supply and use tables are not available, and lends itself to regional disaggregation more readily than the supply-use approach. Price adjustment uses a broad producer price index at the industry level. The core four indicators — gross output, GVA, employment, and GFCF — can be compiled from this approach.</w:t>
      </w:r>
    </w:p>
    <w:p>
      <w:pPr>
        <w:pStyle w:val="BodyText"/>
      </w:pPr>
      <w:r>
        <w:rPr>
          <w:lang w:val="en"/>
        </w:rPr>
        <w:t xml:space="preserve">¶3</w:t>
      </w:r>
      <w:r>
        <w:rPr>
          <w:lang w:val="en"/>
        </w:rPr>
        <w:t xml:space="preserve"> </w:t>
      </w:r>
      <w:r>
        <w:rPr>
          <w:bCs/>
          <w:b/>
          <w:lang w:val="en"/>
        </w:rPr>
        <w:t xml:space="preserve">Type 2 (supply-use framework)</w:t>
      </w:r>
      <w:r>
        <w:rPr>
          <w:lang w:val="en"/>
        </w:rPr>
        <w:t xml:space="preserve"> </w:t>
      </w:r>
      <w:r>
        <w:rPr>
          <w:lang w:val="en"/>
        </w:rPr>
        <w:t xml:space="preserve">fully integrates ocean accounts within national input-output tables, measuring all inter-industry relationships at both product and industry level. This enables estimation of indirect and induced economic effects, reveals linkages between ocean industries and the rest of the economy, and requires product-level price deflators for volume measurement. This is the approach elaborated in §3.7 of this Circular</w:t>
      </w:r>
      <w:hyperlink w:anchor="user-content-fn-30">
        <w:r>
          <w:rPr>
            <w:rStyle w:val="Hyperlink"/>
            <w:vertAlign w:val="superscript"/>
            <w:lang w:val="en"/>
          </w:rPr>
          <w:t xml:space="preserve">8</w:t>
        </w:r>
      </w:hyperlink>
      <w:r>
        <w:rPr>
          <w:lang w:val="en"/>
        </w:rPr>
        <w:t xml:space="preserve">.</w:t>
      </w:r>
    </w:p>
    <w:p>
      <w:pPr>
        <w:pStyle w:val="BodyText"/>
      </w:pPr>
      <w:r>
        <w:rPr>
          <w:lang w:val="en"/>
        </w:rPr>
        <w:t xml:space="preserve">¶4</w:t>
      </w:r>
      <w:r>
        <w:rPr>
          <w:lang w:val="en"/>
        </w:rPr>
        <w:t xml:space="preserve"> </w:t>
      </w:r>
      <w:r>
        <w:rPr>
          <w:lang w:val="en"/>
        </w:rPr>
        <w:t xml:space="preserve">Compilers should select the approach matched to their data infrastructure. Type 1 is a valid and publishable starting point; migration to Type 2 is recommended as the end-state when fully balanced SUTs are available.</w:t>
      </w:r>
    </w:p>
    <w:p>
      <w:pPr>
        <w:pStyle w:val="BodyText"/>
      </w:pPr>
      <w:r>
        <w:rPr>
          <w:lang w:val="en"/>
        </w:rPr>
        <w:t xml:space="preserve">¶5</w:t>
      </w:r>
      <w:r>
        <w:rPr>
          <w:lang w:val="en"/>
        </w:rPr>
        <w:t xml:space="preserve"> </w:t>
      </w:r>
      <w:r>
        <w:rPr>
          <w:bCs/>
          <w:b/>
          <w:lang w:val="en"/>
        </w:rPr>
        <w:t xml:space="preserve">Note on production versus expenditure approaches:</w:t>
      </w:r>
      <w:r>
        <w:rPr>
          <w:lang w:val="en"/>
        </w:rPr>
        <w:t xml:space="preserve"> </w:t>
      </w:r>
      <w:r>
        <w:rPr>
          <w:lang w:val="en"/>
        </w:rPr>
        <w:t xml:space="preserve">Ocean accounts are built on the</w:t>
      </w:r>
      <w:r>
        <w:rPr>
          <w:lang w:val="en"/>
        </w:rPr>
        <w:t xml:space="preserve"> </w:t>
      </w:r>
      <w:r>
        <w:rPr>
          <w:bCs/>
          <w:b/>
          <w:lang w:val="en"/>
        </w:rPr>
        <w:t xml:space="preserve">production (value-added) approach</w:t>
      </w:r>
      <w:r>
        <w:rPr>
          <w:lang w:val="en"/>
        </w:rPr>
        <w:t xml:space="preserve"> </w:t>
      </w:r>
      <w:r>
        <w:rPr>
          <w:lang w:val="en"/>
        </w:rPr>
        <w:t xml:space="preserve">to GDP measurement. Whilst many countries publish their headline GDP figure using the expenditure approach (consumption + investment + government expenditure + net exports), the expenditure approach yields aggregate final demand totals and does not identify industry-level contributions. Both approaches yield the same GDP total under SNA 2025, but only the production approach enables identification of ocean economy industry composition. Compilers working within statistical systems that foreground expenditure-side figures should ensure that production-account data are accessed for ocean industry disaggregation.</w:t>
      </w:r>
    </w:p>
    <w:bookmarkStart w:id="72" w:name="sut-to-indicator-derivation-trace"/>
    <w:p>
      <w:pPr>
        <w:pStyle w:val="Heading4"/>
      </w:pPr>
      <w:r>
        <w:rPr>
          <w:lang w:val="en"/>
        </w:rPr>
        <w:t xml:space="preserve">SUT-to-indicator derivation trace</w:t>
      </w:r>
    </w:p>
    <w:p>
      <w:pPr>
        <w:pStyle w:val="FirstParagraph"/>
      </w:pPr>
      <w:hyperlink w:anchor="sut-to-indicator-derivation-trace">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“SUT-to-indicator derivation trace”</w:t>
        </w:r>
      </w:hyperlink>
    </w:p>
    <w:bookmarkEnd w:id="72"/>
    <w:p>
      <w:pPr>
        <w:pStyle w:val="BodyText"/>
      </w:pPr>
      <w:r>
        <w:rPr>
          <w:lang w:val="en"/>
        </w:rPr>
        <w:t xml:space="preserve">¶1</w:t>
      </w:r>
      <w:r>
        <w:rPr>
          <w:lang w:val="en"/>
        </w:rPr>
        <w:t xml:space="preserve"> </w:t>
      </w:r>
      <w:r>
        <w:rPr>
          <w:lang w:val="en"/>
        </w:rPr>
        <w:t xml:space="preserve">The derivation of structural indicators follows a specific path from the cells of the ocean economy SUTs compiled under</w:t>
      </w:r>
      <w:r>
        <w:rPr>
          <w:lang w:val="en"/>
        </w:rPr>
        <w:t xml:space="preserve"> </w:t>
      </w:r>
      <w:hyperlink r:id="rId32">
        <w:r>
          <w:rPr>
            <w:rStyle w:val="Hyperlink"/>
            <w:bCs/>
            <w:b/>
            <w:lang w:val="en"/>
          </w:rPr>
          <w:t xml:space="preserve">TG-3.3</w:t>
        </w:r>
      </w:hyperlink>
      <w:r>
        <w:rPr>
          <w:lang w:val="en"/>
        </w:rPr>
        <w:t xml:space="preserve"> </w:t>
      </w:r>
      <w:r>
        <w:rPr>
          <w:lang w:val="en"/>
        </w:rPr>
        <w:t xml:space="preserve">Section 3.4 (Table 1) to the indicators presented in this Circular. Compilers should trace each indicator to its source aggregate to ensure consistency between accounts and indicators:</w:t>
      </w:r>
    </w:p>
    <w:p>
      <w:pPr>
        <w:numPr>
          <w:ilvl w:val="0"/>
          <w:numId w:val="1007"/>
        </w:numPr>
        <w:pStyle w:val="Compact"/>
      </w:pPr>
      <w:r>
        <w:rPr>
          <w:lang w:val="en"/>
        </w:rPr>
        <w:t xml:space="preserve">¶2</w:t>
      </w:r>
      <w:r>
        <w:rPr>
          <w:lang w:val="en"/>
        </w:rPr>
        <w:t xml:space="preserve"> </w:t>
      </w:r>
      <w:r>
        <w:rPr>
          <w:bCs/>
          <w:b/>
          <w:lang w:val="en"/>
        </w:rPr>
        <w:t xml:space="preserve">GVA share by industry</w:t>
      </w:r>
      <w:r>
        <w:rPr>
          <w:lang w:val="en"/>
        </w:rPr>
        <w:t xml:space="preserve"> </w:t>
      </w:r>
      <w:r>
        <w:rPr>
          <w:lang w:val="en"/>
        </w:rPr>
        <w:t xml:space="preserve">— the GVA row in the Use Table provides gross value added for each ocean industry column (e.g., Marine Fishing, Aquaculture, Shipping, Ports, Tourism). Each cell is the numerator for the sector GVA share indicator in Section 3.2.</w:t>
      </w:r>
    </w:p>
    <w:p>
      <w:pPr>
        <w:numPr>
          <w:ilvl w:val="0"/>
          <w:numId w:val="1007"/>
        </w:numPr>
        <w:pStyle w:val="Compact"/>
      </w:pPr>
      <w:r>
        <w:rPr>
          <w:lang w:val="en"/>
        </w:rPr>
        <w:t xml:space="preserve">¶3</w:t>
      </w:r>
      <w:r>
        <w:rPr>
          <w:lang w:val="en"/>
        </w:rPr>
        <w:t xml:space="preserve"> </w:t>
      </w:r>
      <w:r>
        <w:rPr>
          <w:bCs/>
          <w:b/>
          <w:lang w:val="en"/>
        </w:rPr>
        <w:t xml:space="preserve">Employment share by industry</w:t>
      </w:r>
      <w:r>
        <w:rPr>
          <w:lang w:val="en"/>
        </w:rPr>
        <w:t xml:space="preserve"> </w:t>
      </w:r>
      <w:r>
        <w:rPr>
          <w:lang w:val="en"/>
        </w:rPr>
        <w:t xml:space="preserve">— the labour inputs row (hours worked or persons employed) at the bottom of the Use Table provides the numerator for the employment share indicator.</w:t>
      </w:r>
    </w:p>
    <w:p>
      <w:pPr>
        <w:numPr>
          <w:ilvl w:val="0"/>
          <w:numId w:val="1007"/>
        </w:numPr>
        <w:pStyle w:val="Compact"/>
      </w:pPr>
      <w:r>
        <w:rPr>
          <w:lang w:val="en"/>
        </w:rPr>
        <w:t xml:space="preserve">¶4</w:t>
      </w:r>
      <w:r>
        <w:rPr>
          <w:lang w:val="en"/>
        </w:rPr>
        <w:t xml:space="preserve"> </w:t>
      </w:r>
      <w:r>
        <w:rPr>
          <w:bCs/>
          <w:b/>
          <w:lang w:val="en"/>
        </w:rPr>
        <w:t xml:space="preserve">Export share</w:t>
      </w:r>
      <w:r>
        <w:rPr>
          <w:lang w:val="en"/>
        </w:rPr>
        <w:t xml:space="preserve"> </w:t>
      </w:r>
      <w:r>
        <w:rPr>
          <w:lang w:val="en"/>
        </w:rPr>
        <w:t xml:space="preserve">— the Exports column in the Use Table, summed across ocean-characteristic product rows (fish products, transport services, tourism services), provides the ocean economy exports aggregate used in Section 3.5.</w:t>
      </w:r>
    </w:p>
    <w:p>
      <w:pPr>
        <w:numPr>
          <w:ilvl w:val="0"/>
          <w:numId w:val="1007"/>
        </w:numPr>
        <w:pStyle w:val="Compact"/>
      </w:pPr>
      <w:r>
        <w:rPr>
          <w:lang w:val="en"/>
        </w:rPr>
        <w:t xml:space="preserve">¶5</w:t>
      </w:r>
      <w:r>
        <w:rPr>
          <w:lang w:val="en"/>
        </w:rPr>
        <w:t xml:space="preserve"> </w:t>
      </w:r>
      <w:r>
        <w:rPr>
          <w:bCs/>
          <w:b/>
          <w:lang w:val="en"/>
        </w:rPr>
        <w:t xml:space="preserve">Investment indicators</w:t>
      </w:r>
      <w:r>
        <w:rPr>
          <w:lang w:val="en"/>
        </w:rPr>
        <w:t xml:space="preserve"> </w:t>
      </w:r>
      <w:r>
        <w:rPr>
          <w:lang w:val="en"/>
        </w:rPr>
        <w:t xml:space="preserve">— the GFCF column in the Use Table records capital formation by product type; the GFCF row by industry provides the industry-level investment data for investment rate calculations.</w:t>
      </w:r>
    </w:p>
    <w:p>
      <w:pPr>
        <w:numPr>
          <w:ilvl w:val="0"/>
          <w:numId w:val="1007"/>
        </w:numPr>
        <w:pStyle w:val="Compact"/>
      </w:pPr>
      <w:r>
        <w:rPr>
          <w:lang w:val="en"/>
        </w:rPr>
        <w:t xml:space="preserve">¶6</w:t>
      </w:r>
      <w:r>
        <w:rPr>
          <w:lang w:val="en"/>
        </w:rPr>
        <w:t xml:space="preserve"> </w:t>
      </w:r>
      <w:r>
        <w:rPr>
          <w:bCs/>
          <w:b/>
          <w:lang w:val="en"/>
        </w:rPr>
        <w:t xml:space="preserve">Productivity</w:t>
      </w:r>
      <w:r>
        <w:rPr>
          <w:lang w:val="en"/>
        </w:rPr>
        <w:t xml:space="preserve"> </w:t>
      </w:r>
      <w:r>
        <w:rPr>
          <w:lang w:val="en"/>
        </w:rPr>
        <w:t xml:space="preserve">— labour productivity for each ocean industry is computed by dividing the GVA cell for that industry by the corresponding labour inputs cell.</w:t>
      </w:r>
    </w:p>
    <w:p>
      <w:pPr>
        <w:pStyle w:val="FirstParagraph"/>
      </w:pPr>
      <w:r>
        <w:rPr>
          <w:lang w:val="en"/>
        </w:rPr>
        <w:t xml:space="preserve">¶7</w:t>
      </w:r>
      <w:r>
        <w:rPr>
          <w:lang w:val="en"/>
        </w:rPr>
        <w:t xml:space="preserve"> </w:t>
      </w:r>
      <w:r>
        <w:rPr>
          <w:lang w:val="en"/>
        </w:rPr>
        <w:t xml:space="preserve">This explicit mapping ensures that every indicator in this Circular can be traced back to a specific cell or aggregate in the ocean economy SUTs, providing a clear audit trail from accounts to indicators to policy applications.</w:t>
      </w:r>
    </w:p>
    <w:bookmarkStart w:id="75" w:name="X01dacea45b0569ef02227ea28e2d21a60a4adb7"/>
    <w:p>
      <w:pPr>
        <w:pStyle w:val="Heading3"/>
      </w:pPr>
      <w:r>
        <w:rPr>
          <w:lang w:val="en"/>
        </w:rPr>
        <w:t xml:space="preserve">3.2</w:t>
      </w:r>
      <w:r>
        <w:rPr>
          <w:lang w:val="en"/>
        </w:rPr>
        <w:t xml:space="preserve"> </w:t>
      </w:r>
      <w:r>
        <w:rPr>
          <w:lang w:val="en"/>
        </w:rPr>
        <w:t xml:space="preserve">Sector Composition Indicators</w:t>
      </w:r>
    </w:p>
    <w:p>
      <w:pPr>
        <w:pStyle w:val="FirstParagraph"/>
      </w:pPr>
      <w:hyperlink w:anchor="X01dacea45b0569ef02227ea28e2d21a60a4adb7">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Sector Composition Indicators”</w:t>
        </w:r>
      </w:hyperlink>
    </w:p>
    <w:bookmarkEnd w:id="75"/>
    <w:p>
      <w:pPr>
        <w:pStyle w:val="BodyText"/>
      </w:pPr>
      <w:r>
        <w:rPr>
          <w:lang w:val="en"/>
        </w:rPr>
        <w:t xml:space="preserve">¶1</w:t>
      </w:r>
      <w:r>
        <w:rPr>
          <w:lang w:val="en"/>
        </w:rPr>
        <w:t xml:space="preserve"> </w:t>
      </w:r>
      <w:r>
        <w:rPr>
          <w:lang w:val="en"/>
        </w:rPr>
        <w:t xml:space="preserve">Sector composition indicators describe the relative importance of different industries within the ocean economy, enabling identification of dominant sectors, comparison with national industry structure, and tracking of structural change over time.</w:t>
      </w:r>
    </w:p>
    <w:bookmarkStart w:id="78" w:name="classification-framework"/>
    <w:p>
      <w:pPr>
        <w:pStyle w:val="Heading4"/>
      </w:pPr>
      <w:r>
        <w:rPr>
          <w:lang w:val="en"/>
        </w:rPr>
        <w:t xml:space="preserve">Classification framework</w:t>
      </w:r>
    </w:p>
    <w:p>
      <w:pPr>
        <w:pStyle w:val="FirstParagraph"/>
      </w:pPr>
      <w:hyperlink w:anchor="classification-framework">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“Classification framework”</w:t>
        </w:r>
      </w:hyperlink>
    </w:p>
    <w:bookmarkEnd w:id="78"/>
    <w:p>
      <w:pPr>
        <w:pStyle w:val="BodyText"/>
      </w:pPr>
      <w:r>
        <w:rPr>
          <w:lang w:val="en"/>
        </w:rPr>
        <w:t xml:space="preserve">¶1</w:t>
      </w:r>
      <w:r>
        <w:rPr>
          <w:lang w:val="en"/>
        </w:rPr>
        <w:t xml:space="preserve"> </w:t>
      </w:r>
      <w:r>
        <w:rPr>
          <w:lang w:val="en"/>
        </w:rPr>
        <w:t xml:space="preserve">Ocean economy industries are classified using the International Standard Industrial Classification (ISIC)</w:t>
      </w:r>
      <w:hyperlink w:anchor="user-content-fn-8">
        <w:r>
          <w:rPr>
            <w:rStyle w:val="Hyperlink"/>
            <w:vertAlign w:val="superscript"/>
            <w:lang w:val="en"/>
          </w:rPr>
          <w:t xml:space="preserve">9</w:t>
        </w:r>
      </w:hyperlink>
      <w:r>
        <w:rPr>
          <w:lang w:val="en"/>
        </w:rPr>
        <w:t xml:space="preserve">. Following the categorisation in</w:t>
      </w:r>
      <w:r>
        <w:rPr>
          <w:lang w:val="en"/>
        </w:rPr>
        <w:t xml:space="preserve"> </w:t>
      </w:r>
      <w:hyperlink r:id="rId32">
        <w:r>
          <w:rPr>
            <w:rStyle w:val="Hyperlink"/>
            <w:bCs/>
            <w:b/>
            <w:lang w:val="en"/>
          </w:rPr>
          <w:t xml:space="preserve">TG-3.3</w:t>
        </w:r>
      </w:hyperlink>
      <w:r>
        <w:rPr>
          <w:lang w:val="en"/>
        </w:rPr>
        <w:t xml:space="preserve"> </w:t>
      </w:r>
      <w:r>
        <w:rPr>
          <w:lang w:val="en"/>
        </w:rPr>
        <w:t xml:space="preserve">Section 3.3, ocean industries are grouped as:</w:t>
      </w:r>
    </w:p>
    <w:p>
      <w:pPr>
        <w:pStyle w:val="BodyText"/>
      </w:pPr>
      <w:r>
        <w:rPr>
          <w:lang w:val="en"/>
        </w:rPr>
        <w:t xml:space="preserve">¶2</w:t>
      </w:r>
      <w:r>
        <w:rPr>
          <w:lang w:val="en"/>
        </w:rPr>
        <w:t xml:space="preserve"> </w:t>
      </w:r>
      <w:r>
        <w:rPr>
          <w:bCs/>
          <w:b/>
          <w:lang w:val="en"/>
        </w:rPr>
        <w:t xml:space="preserve">Core ocean-dependent industries</w:t>
      </w:r>
      <w:r>
        <w:rPr>
          <w:lang w:val="en"/>
        </w:rPr>
        <w:t xml:space="preserve"> </w:t>
      </w:r>
      <w:r>
        <w:rPr>
          <w:lang w:val="en"/>
        </w:rPr>
        <w:t xml:space="preserve">(wholly ocean-related). Core ocean-dependent industries are identified at the division or class level depending on whether the entire division is ocean-related or only specific classes within a broader division:</w:t>
      </w:r>
    </w:p>
    <w:p>
      <w:pPr>
        <w:numPr>
          <w:ilvl w:val="0"/>
          <w:numId w:val="1008"/>
        </w:numPr>
        <w:pStyle w:val="Compact"/>
      </w:pPr>
      <w:r>
        <w:rPr>
          <w:lang w:val="en"/>
        </w:rPr>
        <w:t xml:space="preserve">¶3</w:t>
      </w:r>
      <w:r>
        <w:rPr>
          <w:lang w:val="en"/>
        </w:rPr>
        <w:t xml:space="preserve"> </w:t>
      </w:r>
      <w:r>
        <w:rPr>
          <w:lang w:val="en"/>
        </w:rPr>
        <w:t xml:space="preserve">ISIC Division 03: Fishing and aquaculture</w:t>
      </w:r>
    </w:p>
    <w:p>
      <w:pPr>
        <w:numPr>
          <w:ilvl w:val="1"/>
          <w:numId w:val="1009"/>
        </w:numPr>
        <w:pStyle w:val="Compact"/>
      </w:pPr>
      <w:r>
        <w:rPr>
          <w:lang w:val="en"/>
        </w:rPr>
        <w:t xml:space="preserve">¶4</w:t>
      </w:r>
      <w:r>
        <w:rPr>
          <w:lang w:val="en"/>
        </w:rPr>
        <w:t xml:space="preserve"> </w:t>
      </w:r>
      <w:r>
        <w:rPr>
          <w:lang w:val="en"/>
        </w:rPr>
        <w:t xml:space="preserve">Class 0311: Marine fishing</w:t>
      </w:r>
    </w:p>
    <w:p>
      <w:pPr>
        <w:numPr>
          <w:ilvl w:val="1"/>
          <w:numId w:val="1009"/>
        </w:numPr>
        <w:pStyle w:val="Compact"/>
      </w:pPr>
      <w:r>
        <w:rPr>
          <w:lang w:val="en"/>
        </w:rPr>
        <w:t xml:space="preserve">¶5</w:t>
      </w:r>
      <w:r>
        <w:rPr>
          <w:lang w:val="en"/>
        </w:rPr>
        <w:t xml:space="preserve"> </w:t>
      </w:r>
      <w:r>
        <w:rPr>
          <w:lang w:val="en"/>
        </w:rPr>
        <w:t xml:space="preserve">Class 0321: Marine aquaculture</w:t>
      </w:r>
    </w:p>
    <w:p>
      <w:pPr>
        <w:numPr>
          <w:ilvl w:val="0"/>
          <w:numId w:val="1008"/>
        </w:numPr>
        <w:pStyle w:val="Compact"/>
      </w:pPr>
      <w:r>
        <w:rPr>
          <w:lang w:val="en"/>
        </w:rPr>
        <w:t xml:space="preserve">¶6</w:t>
      </w:r>
      <w:r>
        <w:rPr>
          <w:lang w:val="en"/>
        </w:rPr>
        <w:t xml:space="preserve"> </w:t>
      </w:r>
      <w:r>
        <w:rPr>
          <w:lang w:val="en"/>
        </w:rPr>
        <w:t xml:space="preserve">ISIC Division 50: Water transport</w:t>
      </w:r>
    </w:p>
    <w:p>
      <w:pPr>
        <w:numPr>
          <w:ilvl w:val="1"/>
          <w:numId w:val="1010"/>
        </w:numPr>
        <w:pStyle w:val="Compact"/>
      </w:pPr>
      <w:r>
        <w:rPr>
          <w:lang w:val="en"/>
        </w:rPr>
        <w:t xml:space="preserve">¶7</w:t>
      </w:r>
      <w:r>
        <w:rPr>
          <w:lang w:val="en"/>
        </w:rPr>
        <w:t xml:space="preserve"> </w:t>
      </w:r>
      <w:r>
        <w:rPr>
          <w:lang w:val="en"/>
        </w:rPr>
        <w:t xml:space="preserve">Class 5011: Sea and coastal passenger water transport</w:t>
      </w:r>
    </w:p>
    <w:p>
      <w:pPr>
        <w:numPr>
          <w:ilvl w:val="1"/>
          <w:numId w:val="1010"/>
        </w:numPr>
        <w:pStyle w:val="Compact"/>
      </w:pPr>
      <w:r>
        <w:rPr>
          <w:lang w:val="en"/>
        </w:rPr>
        <w:t xml:space="preserve">¶8</w:t>
      </w:r>
      <w:r>
        <w:rPr>
          <w:lang w:val="en"/>
        </w:rPr>
        <w:t xml:space="preserve"> </w:t>
      </w:r>
      <w:r>
        <w:rPr>
          <w:lang w:val="en"/>
        </w:rPr>
        <w:t xml:space="preserve">Class 5012: Sea and coastal freight water transport</w:t>
      </w:r>
    </w:p>
    <w:p>
      <w:pPr>
        <w:numPr>
          <w:ilvl w:val="0"/>
          <w:numId w:val="1008"/>
        </w:numPr>
        <w:pStyle w:val="Compact"/>
      </w:pPr>
      <w:r>
        <w:rPr>
          <w:lang w:val="en"/>
        </w:rPr>
        <w:t xml:space="preserve">¶9</w:t>
      </w:r>
      <w:r>
        <w:rPr>
          <w:lang w:val="en"/>
        </w:rPr>
        <w:t xml:space="preserve"> </w:t>
      </w:r>
      <w:r>
        <w:rPr>
          <w:lang w:val="en"/>
        </w:rPr>
        <w:t xml:space="preserve">ISIC Division 06: Extraction of crude petroleum and natural gas (offshore portion)</w:t>
      </w:r>
    </w:p>
    <w:p>
      <w:pPr>
        <w:numPr>
          <w:ilvl w:val="0"/>
          <w:numId w:val="1008"/>
        </w:numPr>
        <w:pStyle w:val="Compact"/>
      </w:pPr>
      <w:r>
        <w:rPr>
          <w:lang w:val="en"/>
        </w:rPr>
        <w:t xml:space="preserve">¶10</w:t>
      </w:r>
      <w:r>
        <w:rPr>
          <w:lang w:val="en"/>
        </w:rPr>
        <w:t xml:space="preserve"> </w:t>
      </w:r>
      <w:r>
        <w:rPr>
          <w:lang w:val="en"/>
        </w:rPr>
        <w:t xml:space="preserve">ISIC Class 3510: Electric power generation, transmission and distribution (offshore wind, tidal, wave portion)</w:t>
      </w:r>
    </w:p>
    <w:p>
      <w:pPr>
        <w:pStyle w:val="FirstParagraph"/>
      </w:pPr>
      <w:r>
        <w:rPr>
          <w:lang w:val="en"/>
        </w:rPr>
        <w:t xml:space="preserve">¶11</w:t>
      </w:r>
      <w:r>
        <w:rPr>
          <w:lang w:val="en"/>
        </w:rPr>
        <w:t xml:space="preserve"> </w:t>
      </w:r>
      <w:r>
        <w:rPr>
          <w:bCs/>
          <w:b/>
          <w:lang w:val="en"/>
        </w:rPr>
        <w:t xml:space="preserve">Ocean-related industries</w:t>
      </w:r>
      <w:r>
        <w:rPr>
          <w:lang w:val="en"/>
        </w:rPr>
        <w:t xml:space="preserve"> </w:t>
      </w:r>
      <w:r>
        <w:rPr>
          <w:lang w:val="en"/>
        </w:rPr>
        <w:t xml:space="preserve">(partially ocean-related, requiring estimation of ocean share):</w:t>
      </w:r>
    </w:p>
    <w:p>
      <w:pPr>
        <w:numPr>
          <w:ilvl w:val="0"/>
          <w:numId w:val="1011"/>
        </w:numPr>
        <w:pStyle w:val="Compact"/>
      </w:pPr>
      <w:r>
        <w:rPr>
          <w:lang w:val="en"/>
        </w:rPr>
        <w:t xml:space="preserve">¶12</w:t>
      </w:r>
      <w:r>
        <w:rPr>
          <w:lang w:val="en"/>
        </w:rPr>
        <w:t xml:space="preserve"> </w:t>
      </w:r>
      <w:r>
        <w:rPr>
          <w:lang w:val="en"/>
        </w:rPr>
        <w:t xml:space="preserve">ISIC Class 1020: Processing and preserving of fish, crustaceans and molluscs</w:t>
      </w:r>
    </w:p>
    <w:p>
      <w:pPr>
        <w:numPr>
          <w:ilvl w:val="0"/>
          <w:numId w:val="1011"/>
        </w:numPr>
        <w:pStyle w:val="Compact"/>
      </w:pPr>
      <w:r>
        <w:rPr>
          <w:lang w:val="en"/>
        </w:rPr>
        <w:t xml:space="preserve">¶13</w:t>
      </w:r>
      <w:r>
        <w:rPr>
          <w:lang w:val="en"/>
        </w:rPr>
        <w:t xml:space="preserve"> </w:t>
      </w:r>
      <w:r>
        <w:rPr>
          <w:lang w:val="en"/>
        </w:rPr>
        <w:t xml:space="preserve">ISIC Class 3011: Building of ships and floating structures</w:t>
      </w:r>
    </w:p>
    <w:p>
      <w:pPr>
        <w:numPr>
          <w:ilvl w:val="0"/>
          <w:numId w:val="1011"/>
        </w:numPr>
        <w:pStyle w:val="Compact"/>
      </w:pPr>
      <w:r>
        <w:rPr>
          <w:lang w:val="en"/>
        </w:rPr>
        <w:t xml:space="preserve">¶14</w:t>
      </w:r>
      <w:r>
        <w:rPr>
          <w:lang w:val="en"/>
        </w:rPr>
        <w:t xml:space="preserve"> </w:t>
      </w:r>
      <w:r>
        <w:rPr>
          <w:lang w:val="en"/>
        </w:rPr>
        <w:t xml:space="preserve">ISIC Class 3012: Building of pleasure and sporting boats</w:t>
      </w:r>
    </w:p>
    <w:p>
      <w:pPr>
        <w:numPr>
          <w:ilvl w:val="0"/>
          <w:numId w:val="1011"/>
        </w:numPr>
        <w:pStyle w:val="Compact"/>
      </w:pPr>
      <w:r>
        <w:rPr>
          <w:lang w:val="en"/>
        </w:rPr>
        <w:t xml:space="preserve">¶15</w:t>
      </w:r>
      <w:r>
        <w:rPr>
          <w:lang w:val="en"/>
        </w:rPr>
        <w:t xml:space="preserve"> </w:t>
      </w:r>
      <w:r>
        <w:rPr>
          <w:lang w:val="en"/>
        </w:rPr>
        <w:t xml:space="preserve">ISIC Class 5222: Service activities incidental to water transportation</w:t>
      </w:r>
    </w:p>
    <w:p>
      <w:pPr>
        <w:numPr>
          <w:ilvl w:val="0"/>
          <w:numId w:val="1011"/>
        </w:numPr>
        <w:pStyle w:val="Compact"/>
      </w:pPr>
      <w:r>
        <w:rPr>
          <w:lang w:val="en"/>
        </w:rPr>
        <w:t xml:space="preserve">¶16</w:t>
      </w:r>
      <w:r>
        <w:rPr>
          <w:lang w:val="en"/>
        </w:rPr>
        <w:t xml:space="preserve"> </w:t>
      </w:r>
      <w:r>
        <w:rPr>
          <w:lang w:val="en"/>
        </w:rPr>
        <w:t xml:space="preserve">ISIC Class 5224: Cargo handling (port cargo handling share)</w:t>
      </w:r>
    </w:p>
    <w:p>
      <w:pPr>
        <w:numPr>
          <w:ilvl w:val="0"/>
          <w:numId w:val="1011"/>
        </w:numPr>
        <w:pStyle w:val="Compact"/>
      </w:pPr>
      <w:r>
        <w:rPr>
          <w:lang w:val="en"/>
        </w:rPr>
        <w:t xml:space="preserve">¶17</w:t>
      </w:r>
      <w:r>
        <w:rPr>
          <w:lang w:val="en"/>
        </w:rPr>
        <w:t xml:space="preserve"> </w:t>
      </w:r>
      <w:r>
        <w:rPr>
          <w:lang w:val="en"/>
        </w:rPr>
        <w:t xml:space="preserve">ISIC Class 5510: Short-term accommodation activities (coastal tourism share)</w:t>
      </w:r>
    </w:p>
    <w:p>
      <w:pPr>
        <w:numPr>
          <w:ilvl w:val="0"/>
          <w:numId w:val="1011"/>
        </w:numPr>
        <w:pStyle w:val="Compact"/>
      </w:pPr>
      <w:r>
        <w:rPr>
          <w:lang w:val="en"/>
        </w:rPr>
        <w:t xml:space="preserve">¶18</w:t>
      </w:r>
      <w:r>
        <w:rPr>
          <w:lang w:val="en"/>
        </w:rPr>
        <w:t xml:space="preserve"> </w:t>
      </w:r>
      <w:r>
        <w:rPr>
          <w:lang w:val="en"/>
        </w:rPr>
        <w:t xml:space="preserve">ISIC Class 7210: Research and experimental development (marine research share)</w:t>
      </w:r>
    </w:p>
    <w:p>
      <w:pPr>
        <w:numPr>
          <w:ilvl w:val="0"/>
          <w:numId w:val="1011"/>
        </w:numPr>
        <w:pStyle w:val="Compact"/>
      </w:pPr>
      <w:r>
        <w:rPr>
          <w:lang w:val="en"/>
        </w:rPr>
        <w:t xml:space="preserve">¶19</w:t>
      </w:r>
      <w:r>
        <w:rPr>
          <w:lang w:val="en"/>
        </w:rPr>
        <w:t xml:space="preserve"> </w:t>
      </w:r>
      <w:r>
        <w:rPr>
          <w:lang w:val="en"/>
        </w:rPr>
        <w:t xml:space="preserve">ISIC Class 8423: Public order and safety activities (coast guard, maritime enforcement share)</w:t>
      </w:r>
    </w:p>
    <w:p>
      <w:pPr>
        <w:numPr>
          <w:ilvl w:val="0"/>
          <w:numId w:val="1011"/>
        </w:numPr>
        <w:pStyle w:val="Compact"/>
      </w:pPr>
      <w:r>
        <w:rPr>
          <w:lang w:val="en"/>
        </w:rPr>
        <w:t xml:space="preserve">¶20</w:t>
      </w:r>
      <w:r>
        <w:rPr>
          <w:lang w:val="en"/>
        </w:rPr>
        <w:t xml:space="preserve"> </w:t>
      </w:r>
      <w:r>
        <w:rPr>
          <w:lang w:val="en"/>
        </w:rPr>
        <w:t xml:space="preserve">ISIC Class 9319: Other sports activities (marine sports and recreation share)</w:t>
      </w:r>
    </w:p>
    <w:p>
      <w:pPr>
        <w:pStyle w:val="FirstParagraph"/>
      </w:pPr>
      <w:r>
        <w:rPr>
          <w:lang w:val="en"/>
        </w:rPr>
        <w:t xml:space="preserve">¶21</w:t>
      </w:r>
      <w:r>
        <w:rPr>
          <w:lang w:val="en"/>
        </w:rPr>
        <w:t xml:space="preserve"> </w:t>
      </w:r>
      <w:r>
        <w:rPr>
          <w:lang w:val="en"/>
        </w:rPr>
        <w:t xml:space="preserve">This listing is illustrative and should be verified against the fuller classification in</w:t>
      </w:r>
      <w:r>
        <w:rPr>
          <w:lang w:val="en"/>
        </w:rPr>
        <w:t xml:space="preserve"> </w:t>
      </w:r>
      <w:hyperlink r:id="rId32">
        <w:r>
          <w:rPr>
            <w:rStyle w:val="Hyperlink"/>
            <w:bCs/>
            <w:b/>
            <w:lang w:val="en"/>
          </w:rPr>
          <w:t xml:space="preserve">TG-3.3</w:t>
        </w:r>
      </w:hyperlink>
      <w:r>
        <w:rPr>
          <w:lang w:val="en"/>
        </w:rPr>
        <w:t xml:space="preserve"> </w:t>
      </w:r>
      <w:r>
        <w:rPr>
          <w:lang w:val="en"/>
        </w:rPr>
        <w:t xml:space="preserve">Section 3.3, which provides the authoritative industry concordance for ocean economy accounts. Compilers should adapt the industry scope to their national circumstances and document the specific ISIC classes included. For offshore oil and gas extraction and offshore renewable energy, additional classification detail is provided in</w:t>
      </w:r>
      <w:r>
        <w:rPr>
          <w:lang w:val="en"/>
        </w:rPr>
        <w:t xml:space="preserve"> </w:t>
      </w:r>
      <w:hyperlink r:id="rId79">
        <w:r>
          <w:rPr>
            <w:rStyle w:val="Hyperlink"/>
            <w:bCs/>
            <w:b/>
            <w:lang w:val="en"/>
          </w:rPr>
          <w:t xml:space="preserve">TG-3.10 Offshore Energy</w:t>
        </w:r>
      </w:hyperlink>
      <w:r>
        <w:rPr>
          <w:lang w:val="en"/>
        </w:rPr>
        <w:t xml:space="preserve">.</w:t>
      </w:r>
    </w:p>
    <w:bookmarkStart w:id="82" w:name="X2a3316ccbcd9b9515770b204a324d332a04d643"/>
    <w:p>
      <w:pPr>
        <w:pStyle w:val="Heading4"/>
      </w:pPr>
      <w:r>
        <w:rPr>
          <w:lang w:val="en"/>
        </w:rPr>
        <w:t xml:space="preserve">Scope decisions and international practice</w:t>
      </w:r>
    </w:p>
    <w:p>
      <w:pPr>
        <w:pStyle w:val="FirstParagraph"/>
      </w:pPr>
      <w:hyperlink w:anchor="X2a3316ccbcd9b9515770b204a324d332a04d643">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“Scope decisions and international practice”</w:t>
        </w:r>
      </w:hyperlink>
    </w:p>
    <w:bookmarkEnd w:id="82"/>
    <w:p>
      <w:pPr>
        <w:pStyle w:val="BodyText"/>
      </w:pPr>
      <w:r>
        <w:rPr>
          <w:lang w:val="en"/>
        </w:rPr>
        <w:t xml:space="preserve">¶1</w:t>
      </w:r>
      <w:r>
        <w:rPr>
          <w:lang w:val="en"/>
        </w:rPr>
        <w:t xml:space="preserve"> </w:t>
      </w:r>
      <w:r>
        <w:rPr>
          <w:lang w:val="en"/>
        </w:rPr>
        <w:t xml:space="preserve">There is no single agreed scope for the ocean economy, and national programmes legitimately differ. The 35-country review of ocean account definitions, the Portugal / United States / Norway comparison and the EU and OECD measurement programmes are in</w:t>
      </w:r>
      <w:r>
        <w:rPr>
          <w:lang w:val="en"/>
        </w:rPr>
        <w:t xml:space="preserve"> </w:t>
      </w:r>
      <w:hyperlink r:id="rId55">
        <w:r>
          <w:rPr>
            <w:rStyle w:val="Hyperlink"/>
            <w:bCs/>
            <w:b/>
            <w:lang w:val="en"/>
          </w:rPr>
          <w:t xml:space="preserve">TG-1.0 Ocean Accounting and the Blue/Ocean Economy</w:t>
        </w:r>
      </w:hyperlink>
      <w:r>
        <w:rPr>
          <w:lang w:val="en"/>
        </w:rPr>
        <w:t xml:space="preserve"> </w:t>
      </w:r>
      <w:r>
        <w:rPr>
          <w:lang w:val="en"/>
        </w:rPr>
        <w:t xml:space="preserve">Sections 3.1 and 3.6; the industry scope a compiler actually applies is</w:t>
      </w:r>
      <w:r>
        <w:rPr>
          <w:lang w:val="en"/>
        </w:rPr>
        <w:t xml:space="preserve"> </w:t>
      </w:r>
      <w:hyperlink r:id="rId32">
        <w:r>
          <w:rPr>
            <w:rStyle w:val="Hyperlink"/>
            <w:bCs/>
            <w:b/>
            <w:lang w:val="en"/>
          </w:rPr>
          <w:t xml:space="preserve">TG-3.3</w:t>
        </w:r>
      </w:hyperlink>
      <w:r>
        <w:rPr>
          <w:lang w:val="en"/>
        </w:rPr>
        <w:t xml:space="preserve"> </w:t>
      </w:r>
      <w:r>
        <w:rPr>
          <w:lang w:val="en"/>
        </w:rPr>
        <w:t xml:space="preserve">Section 3.4. The consequence for the indicators below is that a share computed on one country’s scope is not comparable with the same share computed on another’s unless both disclose the scope, the tier and the ocean-ratio estimation level.</w:t>
      </w:r>
    </w:p>
    <w:bookmarkStart w:id="85" w:name="key-composition-indicators"/>
    <w:p>
      <w:pPr>
        <w:pStyle w:val="Heading4"/>
      </w:pPr>
      <w:r>
        <w:rPr>
          <w:lang w:val="en"/>
        </w:rPr>
        <w:t xml:space="preserve">Key composition indicators</w:t>
      </w:r>
    </w:p>
    <w:p>
      <w:pPr>
        <w:pStyle w:val="FirstParagraph"/>
      </w:pPr>
      <w:hyperlink w:anchor="key-composition-indicators">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“Key composition indicators”</w:t>
        </w:r>
      </w:hyperlink>
    </w:p>
    <w:bookmarkEnd w:id="85"/>
    <w:p>
      <w:pPr>
        <w:pStyle w:val="BodyText"/>
      </w:pPr>
      <w:r>
        <w:rPr>
          <w:lang w:val="en"/>
        </w:rPr>
        <w:t xml:space="preserve">¶1</w:t>
      </w:r>
      <w:r>
        <w:rPr>
          <w:lang w:val="en"/>
        </w:rPr>
        <w:t xml:space="preserve"> </w:t>
      </w:r>
      <w:r>
        <w:rPr>
          <w:lang w:val="en"/>
        </w:rPr>
        <w:t xml:space="preserve">The following indicators characterise sector composition</w:t>
      </w:r>
      <w:hyperlink w:anchor="user-content-fn-9">
        <w:r>
          <w:rPr>
            <w:rStyle w:val="Hyperlink"/>
            <w:vertAlign w:val="superscript"/>
            <w:lang w:val="en"/>
          </w:rPr>
          <w:t xml:space="preserve">10</w:t>
        </w:r>
      </w:hyperlink>
      <w:r>
        <w:rPr>
          <w:lang w:val="en"/>
        </w:rPr>
        <w:t xml:space="preserve">:</w:t>
      </w:r>
    </w:p>
    <w:p>
      <w:pPr>
        <w:pStyle w:val="BodyText"/>
      </w:pPr>
      <w:r>
        <w:rPr>
          <w:lang w:val="en"/>
        </w:rPr>
        <w:t xml:space="preserve">¶2</w:t>
      </w:r>
      <w:r>
        <w:rPr>
          <w:lang w:val="en"/>
        </w:rPr>
        <w:t xml:space="preserve"> </w:t>
      </w:r>
      <w:r>
        <w:rPr>
          <w:bCs/>
          <w:b/>
          <w:lang w:val="en"/>
        </w:rPr>
        <w:t xml:space="preserve">Output share by industry</w:t>
      </w:r>
      <w:r>
        <w:rPr>
          <w:lang w:val="en"/>
        </w:rPr>
        <w:t xml:space="preserve"> </w:t>
      </w:r>
      <m:oMathPara>
        <m:oMathParaPr>
          <m:jc m:val="center"/>
        </m:oMathParaPr>
        <m:oMath>
          <m:sSub>
            <m:e>
              <m:r>
                <m:rPr>
                  <m:nor/>
                  <m:sty m:val="p"/>
                </m:rPr>
                <m:t>Output share</m:t>
              </m:r>
            </m:e>
            <m:sub>
              <m:r>
                <m:t>i</m:t>
              </m:r>
            </m:sub>
          </m:sSub>
          <m:r>
            <m:rPr>
              <m:sty m:val="p"/>
            </m:rPr>
            <m:t>=</m:t>
          </m:r>
          <m:f>
            <m:fPr>
              <m:type m:val="bar"/>
            </m:fPr>
            <m:num>
              <m:sSub>
                <m:e>
                  <m:r>
                    <m:rPr>
                      <m:nor/>
                      <m:sty m:val="p"/>
                    </m:rPr>
                    <m:t>Output</m:t>
                  </m:r>
                </m:e>
                <m:sub>
                  <m:r>
                    <m:t>i</m:t>
                  </m:r>
                </m:sub>
              </m:sSub>
            </m:num>
            <m:den>
              <m:nary>
                <m:naryPr>
                  <m:chr m:val="∑"/>
                  <m:limLoc m:val="undOvr"/>
                  <m:subHide m:val="off"/>
                  <m:supHide m:val="on"/>
                </m:naryPr>
                <m:sub>
                  <m:r>
                    <m:t>j</m:t>
                  </m:r>
                </m:sub>
                <m:sup>
                  <m:r>
                    <m:t>​</m:t>
                  </m:r>
                </m:sup>
                <m:e>
                  <m:sSub>
                    <m:e>
                      <m:r>
                        <m:rPr>
                          <m:nor/>
                          <m:sty m:val="p"/>
                        </m:rPr>
                        <m:t>Output</m:t>
                      </m:r>
                    </m:e>
                    <m:sub>
                      <m:r>
                        <m:t>j</m:t>
                      </m:r>
                    </m:sub>
                  </m:sSub>
                </m:e>
              </m:nary>
            </m:den>
          </m:f>
          <m:r>
            <m:rPr>
              <m:sty m:val="p"/>
            </m:rPr>
            <m:t>×</m:t>
          </m:r>
          <m:r>
            <m:t>100</m:t>
          </m:r>
        </m:oMath>
      </m:oMathPara>
      <w:r>
        <w:rPr>
          <w:lang w:val="en"/>
        </w:rPr>
        <w:t xml:space="preserve">Output share</w:t>
      </w:r>
      <w:r>
        <w:rPr>
          <w:lang w:val="en"/>
        </w:rPr>
        <w:t xml:space="preserve">i</w:t>
      </w:r>
      <w:r>
        <w:rPr>
          <w:lang w:val="en"/>
        </w:rPr>
        <w:t xml:space="preserve">​</w:t>
      </w:r>
      <w:r>
        <w:rPr>
          <w:lang w:val="en"/>
        </w:rPr>
        <w:t xml:space="preserve">=</w:t>
      </w:r>
      <w:r>
        <w:rPr>
          <w:lang w:val="en"/>
        </w:rPr>
        <w:t xml:space="preserve">∑</w:t>
      </w:r>
      <w:r>
        <w:rPr>
          <w:lang w:val="en"/>
        </w:rPr>
        <w:t xml:space="preserve">j</w:t>
      </w:r>
      <w:r>
        <w:rPr>
          <w:lang w:val="en"/>
        </w:rPr>
        <w:t xml:space="preserve">​</w:t>
      </w:r>
      <w:r>
        <w:rPr>
          <w:lang w:val="en"/>
        </w:rPr>
        <w:t xml:space="preserve">Output</w:t>
      </w:r>
      <w:r>
        <w:rPr>
          <w:lang w:val="en"/>
        </w:rPr>
        <w:t xml:space="preserve">j</w:t>
      </w:r>
      <w:r>
        <w:rPr>
          <w:lang w:val="en"/>
        </w:rPr>
        <w:t xml:space="preserve">​</w:t>
      </w:r>
      <w:r>
        <w:rPr>
          <w:lang w:val="en"/>
        </w:rPr>
        <w:t xml:space="preserve">Output</w:t>
      </w:r>
      <w:r>
        <w:rPr>
          <w:lang w:val="en"/>
        </w:rPr>
        <w:t xml:space="preserve">i</w:t>
      </w:r>
      <w:r>
        <w:rPr>
          <w:lang w:val="en"/>
        </w:rPr>
        <w:t xml:space="preserve">​</w:t>
      </w:r>
      <w:r>
        <w:rPr>
          <w:lang w:val="en"/>
        </w:rPr>
        <w:t xml:space="preserve">​</w:t>
      </w:r>
      <w:r>
        <w:rPr>
          <w:lang w:val="en"/>
        </w:rPr>
        <w:t xml:space="preserve">×</w:t>
      </w:r>
      <w:r>
        <w:rPr>
          <w:lang w:val="en"/>
        </w:rPr>
        <w:t xml:space="preserve">100</w:t>
      </w:r>
    </w:p>
    <w:p>
      <w:pPr>
        <w:pStyle w:val="FirstParagraph"/>
      </w:pPr>
      <w:r>
        <w:rPr>
          <w:lang w:val="en"/>
        </w:rPr>
        <w:t xml:space="preserve">¶3</w:t>
      </w:r>
      <w:r>
        <w:rPr>
          <w:lang w:val="en"/>
        </w:rPr>
        <w:t xml:space="preserve"> </w:t>
      </w:r>
      <w:r>
        <w:rPr>
          <w:lang w:val="en"/>
        </w:rPr>
        <w:t xml:space="preserve">where</w:t>
      </w:r>
      <w:r>
        <w:rPr>
          <w:lang w:val="en"/>
        </w:rPr>
        <w:t xml:space="preserve"> </w:t>
      </w:r>
      <m:oMath>
        <m:r>
          <m:t>i</m:t>
        </m:r>
      </m:oMath>
      <w:r>
        <w:rPr>
          <w:lang w:val="en"/>
        </w:rPr>
        <w:t xml:space="preserve">i</w:t>
      </w:r>
      <w:r>
        <w:rPr>
          <w:lang w:val="en"/>
        </w:rPr>
        <w:t xml:space="preserve"> </w:t>
      </w:r>
      <w:r>
        <w:rPr>
          <w:lang w:val="en"/>
        </w:rPr>
        <w:t xml:space="preserve">denotes an individual ocean industry and</w:t>
      </w:r>
      <w:r>
        <w:rPr>
          <w:lang w:val="en"/>
        </w:rPr>
        <w:t xml:space="preserve"> </w:t>
      </w:r>
      <m:oMath>
        <m:r>
          <m:t>j</m:t>
        </m:r>
      </m:oMath>
      <w:r>
        <w:rPr>
          <w:lang w:val="en"/>
        </w:rPr>
        <w:t xml:space="preserve">j</w:t>
      </w:r>
      <w:r>
        <w:rPr>
          <w:lang w:val="en"/>
        </w:rPr>
        <w:t xml:space="preserve"> </w:t>
      </w:r>
      <w:r>
        <w:rPr>
          <w:lang w:val="en"/>
        </w:rPr>
        <w:t xml:space="preserve">indexes all ocean industries.</w:t>
      </w:r>
    </w:p>
    <w:p>
      <w:pPr>
        <w:pStyle w:val="BodyText"/>
      </w:pPr>
      <w:r>
        <w:rPr>
          <w:lang w:val="en"/>
        </w:rPr>
        <w:t xml:space="preserve">¶4</w:t>
      </w:r>
      <w:r>
        <w:rPr>
          <w:lang w:val="en"/>
        </w:rPr>
        <w:t xml:space="preserve"> </w:t>
      </w:r>
      <w:r>
        <w:rPr>
          <w:bCs/>
          <w:b/>
          <w:lang w:val="en"/>
        </w:rPr>
        <w:t xml:space="preserve">GVA share by industry</w:t>
      </w:r>
      <w:r>
        <w:rPr>
          <w:lang w:val="en"/>
        </w:rPr>
        <w:t xml:space="preserve"> </w:t>
      </w:r>
      <m:oMathPara>
        <m:oMathParaPr>
          <m:jc m:val="center"/>
        </m:oMathParaPr>
        <m:oMath>
          <m:sSub>
            <m:e>
              <m:r>
                <m:rPr>
                  <m:nor/>
                  <m:sty m:val="p"/>
                </m:rPr>
                <m:t>GVA share</m:t>
              </m:r>
            </m:e>
            <m:sub>
              <m:r>
                <m:t>i</m:t>
              </m:r>
            </m:sub>
          </m:sSub>
          <m:r>
            <m:rPr>
              <m:sty m:val="p"/>
            </m:rPr>
            <m:t>=</m:t>
          </m:r>
          <m:f>
            <m:fPr>
              <m:type m:val="bar"/>
            </m:fPr>
            <m:num>
              <m:sSub>
                <m:e>
                  <m:r>
                    <m:rPr>
                      <m:nor/>
                      <m:sty m:val="p"/>
                    </m:rPr>
                    <m:t>GVA</m:t>
                  </m:r>
                </m:e>
                <m:sub>
                  <m:r>
                    <m:t>i</m:t>
                  </m:r>
                </m:sub>
              </m:sSub>
            </m:num>
            <m:den>
              <m:nary>
                <m:naryPr>
                  <m:chr m:val="∑"/>
                  <m:limLoc m:val="undOvr"/>
                  <m:subHide m:val="off"/>
                  <m:supHide m:val="on"/>
                </m:naryPr>
                <m:sub>
                  <m:r>
                    <m:t>j</m:t>
                  </m:r>
                </m:sub>
                <m:sup>
                  <m:r>
                    <m:t>​</m:t>
                  </m:r>
                </m:sup>
                <m:e>
                  <m:sSub>
                    <m:e>
                      <m:r>
                        <m:rPr>
                          <m:nor/>
                          <m:sty m:val="p"/>
                        </m:rPr>
                        <m:t>GVA</m:t>
                      </m:r>
                    </m:e>
                    <m:sub>
                      <m:r>
                        <m:t>j</m:t>
                      </m:r>
                    </m:sub>
                  </m:sSub>
                </m:e>
              </m:nary>
            </m:den>
          </m:f>
          <m:r>
            <m:rPr>
              <m:sty m:val="p"/>
            </m:rPr>
            <m:t>×</m:t>
          </m:r>
          <m:r>
            <m:t>100</m:t>
          </m:r>
        </m:oMath>
      </m:oMathPara>
      <w:r>
        <w:rPr>
          <w:lang w:val="en"/>
        </w:rPr>
        <w:t xml:space="preserve">GVA share</w:t>
      </w:r>
      <w:r>
        <w:rPr>
          <w:lang w:val="en"/>
        </w:rPr>
        <w:t xml:space="preserve">i</w:t>
      </w:r>
      <w:r>
        <w:rPr>
          <w:lang w:val="en"/>
        </w:rPr>
        <w:t xml:space="preserve">​</w:t>
      </w:r>
      <w:r>
        <w:rPr>
          <w:lang w:val="en"/>
        </w:rPr>
        <w:t xml:space="preserve">=</w:t>
      </w:r>
      <w:r>
        <w:rPr>
          <w:lang w:val="en"/>
        </w:rPr>
        <w:t xml:space="preserve">∑</w:t>
      </w:r>
      <w:r>
        <w:rPr>
          <w:lang w:val="en"/>
        </w:rPr>
        <w:t xml:space="preserve">j</w:t>
      </w:r>
      <w:r>
        <w:rPr>
          <w:lang w:val="en"/>
        </w:rPr>
        <w:t xml:space="preserve">​</w:t>
      </w:r>
      <w:r>
        <w:rPr>
          <w:lang w:val="en"/>
        </w:rPr>
        <w:t xml:space="preserve">GVA</w:t>
      </w:r>
      <w:r>
        <w:rPr>
          <w:lang w:val="en"/>
        </w:rPr>
        <w:t xml:space="preserve">j</w:t>
      </w:r>
      <w:r>
        <w:rPr>
          <w:lang w:val="en"/>
        </w:rPr>
        <w:t xml:space="preserve">​</w:t>
      </w:r>
      <w:r>
        <w:rPr>
          <w:lang w:val="en"/>
        </w:rPr>
        <w:t xml:space="preserve">GVA</w:t>
      </w:r>
      <w:r>
        <w:rPr>
          <w:lang w:val="en"/>
        </w:rPr>
        <w:t xml:space="preserve">i</w:t>
      </w:r>
      <w:r>
        <w:rPr>
          <w:lang w:val="en"/>
        </w:rPr>
        <w:t xml:space="preserve">​</w:t>
      </w:r>
      <w:r>
        <w:rPr>
          <w:lang w:val="en"/>
        </w:rPr>
        <w:t xml:space="preserve">​</w:t>
      </w:r>
      <w:r>
        <w:rPr>
          <w:lang w:val="en"/>
        </w:rPr>
        <w:t xml:space="preserve">×</w:t>
      </w:r>
      <w:r>
        <w:rPr>
          <w:lang w:val="en"/>
        </w:rPr>
        <w:t xml:space="preserve">100</w:t>
      </w:r>
    </w:p>
    <w:p>
      <w:pPr>
        <w:pStyle w:val="FirstParagraph"/>
      </w:pPr>
      <w:r>
        <w:rPr>
          <w:lang w:val="en"/>
        </w:rPr>
        <w:t xml:space="preserve">¶5</w:t>
      </w:r>
      <w:r>
        <w:rPr>
          <w:lang w:val="en"/>
        </w:rPr>
        <w:t xml:space="preserve"> </w:t>
      </w:r>
      <w:r>
        <w:rPr>
          <w:lang w:val="en"/>
        </w:rPr>
        <w:t xml:space="preserve">This indicator reveals the relative contribution of each industry to total ocean economy value added. In the Ocean Accounts Framework (</w:t>
      </w:r>
      <w:hyperlink r:id="rId38">
        <w:r>
          <w:rPr>
            <w:rStyle w:val="Hyperlink"/>
            <w:lang w:val="en"/>
          </w:rPr>
          <w:t xml:space="preserve">TG-0.1</w:t>
        </w:r>
      </w:hyperlink>
      <w:r>
        <w:rPr>
          <w:lang w:val="en"/>
        </w:rPr>
        <w:t xml:space="preserve">), the GDP contribution, industry output, and supply-use relationships measured through these structural indicators correspond to Edge E3 (monetary flows between assets and economic sectors), capturing the bidirectional monetary flows that characterise the ocean economy’s productive structure.</w:t>
      </w:r>
    </w:p>
    <w:p>
      <w:pPr>
        <w:pStyle w:val="BodyText"/>
      </w:pPr>
      <w:r>
        <w:rPr>
          <w:lang w:val="en"/>
        </w:rPr>
        <w:t xml:space="preserve">¶6</w:t>
      </w:r>
      <w:r>
        <w:rPr>
          <w:lang w:val="en"/>
        </w:rPr>
        <w:t xml:space="preserve"> </w:t>
      </w:r>
      <w:r>
        <w:rPr>
          <w:bCs/>
          <w:b/>
          <w:lang w:val="en"/>
        </w:rPr>
        <w:t xml:space="preserve">Employment share by industry</w:t>
      </w:r>
      <w:r>
        <w:rPr>
          <w:lang w:val="en"/>
        </w:rPr>
        <w:t xml:space="preserve"> </w:t>
      </w:r>
      <m:oMathPara>
        <m:oMathParaPr>
          <m:jc m:val="center"/>
        </m:oMathParaPr>
        <m:oMath>
          <m:sSub>
            <m:e>
              <m:r>
                <m:rPr>
                  <m:nor/>
                  <m:sty m:val="p"/>
                </m:rPr>
                <m:t>Employment share</m:t>
              </m:r>
            </m:e>
            <m:sub>
              <m:r>
                <m:t>i</m:t>
              </m:r>
            </m:sub>
          </m:sSub>
          <m:r>
            <m:rPr>
              <m:sty m:val="p"/>
            </m:rPr>
            <m:t>=</m:t>
          </m:r>
          <m:f>
            <m:fPr>
              <m:type m:val="bar"/>
            </m:fPr>
            <m:num>
              <m:sSub>
                <m:e>
                  <m:r>
                    <m:rPr>
                      <m:nor/>
                      <m:sty m:val="p"/>
                    </m:rPr>
                    <m:t>Employment</m:t>
                  </m:r>
                </m:e>
                <m:sub>
                  <m:r>
                    <m:t>i</m:t>
                  </m:r>
                </m:sub>
              </m:sSub>
            </m:num>
            <m:den>
              <m:nary>
                <m:naryPr>
                  <m:chr m:val="∑"/>
                  <m:limLoc m:val="undOvr"/>
                  <m:subHide m:val="off"/>
                  <m:supHide m:val="on"/>
                </m:naryPr>
                <m:sub>
                  <m:r>
                    <m:t>j</m:t>
                  </m:r>
                </m:sub>
                <m:sup>
                  <m:r>
                    <m:t>​</m:t>
                  </m:r>
                </m:sup>
                <m:e>
                  <m:sSub>
                    <m:e>
                      <m:r>
                        <m:rPr>
                          <m:nor/>
                          <m:sty m:val="p"/>
                        </m:rPr>
                        <m:t>Employment</m:t>
                      </m:r>
                    </m:e>
                    <m:sub>
                      <m:r>
                        <m:t>j</m:t>
                      </m:r>
                    </m:sub>
                  </m:sSub>
                </m:e>
              </m:nary>
            </m:den>
          </m:f>
          <m:r>
            <m:rPr>
              <m:sty m:val="p"/>
            </m:rPr>
            <m:t>×</m:t>
          </m:r>
          <m:r>
            <m:t>100</m:t>
          </m:r>
        </m:oMath>
      </m:oMathPara>
      <w:r>
        <w:rPr>
          <w:lang w:val="en"/>
        </w:rPr>
        <w:t xml:space="preserve">Employment share</w:t>
      </w:r>
      <w:r>
        <w:rPr>
          <w:lang w:val="en"/>
        </w:rPr>
        <w:t xml:space="preserve">i</w:t>
      </w:r>
      <w:r>
        <w:rPr>
          <w:lang w:val="en"/>
        </w:rPr>
        <w:t xml:space="preserve">​</w:t>
      </w:r>
      <w:r>
        <w:rPr>
          <w:lang w:val="en"/>
        </w:rPr>
        <w:t xml:space="preserve">=</w:t>
      </w:r>
      <w:r>
        <w:rPr>
          <w:lang w:val="en"/>
        </w:rPr>
        <w:t xml:space="preserve">∑</w:t>
      </w:r>
      <w:r>
        <w:rPr>
          <w:lang w:val="en"/>
        </w:rPr>
        <w:t xml:space="preserve">j</w:t>
      </w:r>
      <w:r>
        <w:rPr>
          <w:lang w:val="en"/>
        </w:rPr>
        <w:t xml:space="preserve">​</w:t>
      </w:r>
      <w:r>
        <w:rPr>
          <w:lang w:val="en"/>
        </w:rPr>
        <w:t xml:space="preserve">Employment</w:t>
      </w:r>
      <w:r>
        <w:rPr>
          <w:lang w:val="en"/>
        </w:rPr>
        <w:t xml:space="preserve">j</w:t>
      </w:r>
      <w:r>
        <w:rPr>
          <w:lang w:val="en"/>
        </w:rPr>
        <w:t xml:space="preserve">​</w:t>
      </w:r>
      <w:r>
        <w:rPr>
          <w:lang w:val="en"/>
        </w:rPr>
        <w:t xml:space="preserve">Employment</w:t>
      </w:r>
      <w:r>
        <w:rPr>
          <w:lang w:val="en"/>
        </w:rPr>
        <w:t xml:space="preserve">i</w:t>
      </w:r>
      <w:r>
        <w:rPr>
          <w:lang w:val="en"/>
        </w:rPr>
        <w:t xml:space="preserve">​</w:t>
      </w:r>
      <w:r>
        <w:rPr>
          <w:lang w:val="en"/>
        </w:rPr>
        <w:t xml:space="preserve">​</w:t>
      </w:r>
      <w:r>
        <w:rPr>
          <w:lang w:val="en"/>
        </w:rPr>
        <w:t xml:space="preserve">×</w:t>
      </w:r>
      <w:r>
        <w:rPr>
          <w:lang w:val="en"/>
        </w:rPr>
        <w:t xml:space="preserve">100</w:t>
      </w:r>
    </w:p>
    <w:p>
      <w:pPr>
        <w:pStyle w:val="FirstParagraph"/>
      </w:pPr>
      <w:r>
        <w:rPr>
          <w:lang w:val="en"/>
        </w:rPr>
        <w:t xml:space="preserve">¶7</w:t>
      </w:r>
      <w:r>
        <w:rPr>
          <w:lang w:val="en"/>
        </w:rPr>
        <w:t xml:space="preserve"> </w:t>
      </w:r>
      <w:r>
        <w:rPr>
          <w:lang w:val="en"/>
        </w:rPr>
        <w:t xml:space="preserve">Employment may be measured as number of persons employed, number of jobs, hours worked, or full-time equivalent (FTE) positions</w:t>
      </w:r>
      <w:hyperlink w:anchor="user-content-fn-10">
        <w:r>
          <w:rPr>
            <w:rStyle w:val="Hyperlink"/>
            <w:vertAlign w:val="superscript"/>
            <w:lang w:val="en"/>
          </w:rPr>
          <w:t xml:space="preserve">11</w:t>
        </w:r>
      </w:hyperlink>
      <w:r>
        <w:rPr>
          <w:lang w:val="en"/>
        </w:rPr>
        <w:t xml:space="preserve">. For headline reporting, persons employed is recommended as the default measure, with FTE reported as a supplementary indicator where seasonal or part-time employment is significant.</w:t>
      </w:r>
    </w:p>
    <w:p>
      <w:pPr>
        <w:pStyle w:val="BodyText"/>
      </w:pPr>
      <w:r>
        <w:rPr>
          <w:lang w:val="en"/>
        </w:rPr>
        <w:t xml:space="preserve">¶8</w:t>
      </w:r>
      <w:r>
        <w:rPr>
          <w:lang w:val="en"/>
        </w:rPr>
        <w:t xml:space="preserve"> </w:t>
      </w:r>
      <w:r>
        <w:rPr>
          <w:bCs/>
          <w:b/>
          <w:lang w:val="en"/>
        </w:rPr>
        <w:t xml:space="preserve">Herfindahl-Hirschman Index (HHI) for concentration</w:t>
      </w:r>
      <w:r>
        <w:rPr>
          <w:lang w:val="en"/>
        </w:rPr>
        <w:t xml:space="preserve"> </w:t>
      </w:r>
      <m:oMathPara>
        <m:oMathParaPr>
          <m:jc m:val="center"/>
        </m:oMathParaPr>
        <m:oMath>
          <m:r>
            <m:rPr>
              <m:nor/>
              <m:sty m:val="p"/>
            </m:rPr>
            <m:t>HHI</m:t>
          </m:r>
          <m:r>
            <m:rPr>
              <m:sty m:val="p"/>
            </m:rPr>
            <m:t>=</m:t>
          </m:r>
          <m:nary>
            <m:naryPr>
              <m:chr m:val="∑"/>
              <m:limLoc m:val="undOvr"/>
              <m:subHide m:val="off"/>
              <m:supHide m:val="on"/>
            </m:naryPr>
            <m:sub>
              <m:r>
                <m:t>i</m:t>
              </m:r>
            </m:sub>
            <m:sup>
              <m:r>
                <m:t>​</m:t>
              </m:r>
            </m:sup>
            <m:e>
              <m:sSup>
                <m:e>
                  <m:d>
                    <m:dPr>
                      <m:begChr m:val="("/>
                      <m:endChr m:val=")"/>
                      <m:sepChr m:val=""/>
                      <m:grow/>
                    </m:dPr>
                    <m:e>
                      <m:f>
                        <m:fPr>
                          <m:type m:val="bar"/>
                        </m:fPr>
                        <m:num>
                          <m:sSub>
                            <m:e>
                              <m:r>
                                <m:rPr>
                                  <m:nor/>
                                  <m:sty m:val="p"/>
                                </m:rPr>
                                <m:t>GVA</m:t>
                              </m:r>
                            </m:e>
                            <m:sub>
                              <m:r>
                                <m:t>i</m:t>
                              </m:r>
                            </m:sub>
                          </m:sSub>
                        </m:num>
                        <m:den>
                          <m:nary>
                            <m:naryPr>
                              <m:chr m:val="∑"/>
                              <m:limLoc m:val="undOvr"/>
                              <m:subHide m:val="off"/>
                              <m:supHide m:val="on"/>
                            </m:naryPr>
                            <m:sub>
                              <m:r>
                                <m:t>j</m:t>
                              </m:r>
                            </m:sub>
                            <m:sup>
                              <m:r>
                                <m:t>​</m:t>
                              </m:r>
                            </m:sup>
                            <m:e>
                              <m:sSub>
                                <m:e>
                                  <m:r>
                                    <m:rPr>
                                      <m:nor/>
                                      <m:sty m:val="p"/>
                                    </m:rPr>
                                    <m:t>GVA</m:t>
                                  </m:r>
                                </m:e>
                                <m:sub>
                                  <m:r>
                                    <m:t>j</m:t>
                                  </m:r>
                                </m:sub>
                              </m:sSub>
                            </m:e>
                          </m:nary>
                        </m:den>
                      </m:f>
                      <m:r>
                        <m:rPr>
                          <m:sty m:val="p"/>
                        </m:rPr>
                        <m:t>×</m:t>
                      </m:r>
                      <m:r>
                        <m:t>100</m:t>
                      </m:r>
                    </m:e>
                  </m:d>
                </m:e>
                <m:sup>
                  <m:r>
                    <m:t>2</m:t>
                  </m:r>
                </m:sup>
              </m:sSup>
            </m:e>
          </m:nary>
        </m:oMath>
      </m:oMathPara>
      <w:r>
        <w:rPr>
          <w:lang w:val="en"/>
        </w:rPr>
        <w:t xml:space="preserve">HHI</w:t>
      </w:r>
      <w:r>
        <w:rPr>
          <w:lang w:val="en"/>
        </w:rPr>
        <w:t xml:space="preserve">=</w:t>
      </w:r>
      <w:r>
        <w:rPr>
          <w:lang w:val="en"/>
        </w:rPr>
        <w:t xml:space="preserve">i</w:t>
      </w:r>
      <w:r>
        <w:rPr>
          <w:lang w:val="en"/>
        </w:rPr>
        <w:t xml:space="preserve">∑</w:t>
      </w:r>
      <w:r>
        <w:rPr>
          <w:lang w:val="en"/>
        </w:rPr>
        <w:t xml:space="preserve">​</w:t>
      </w:r>
      <w:r>
        <w:rPr>
          <w:lang w:val="en"/>
        </w:rPr>
        <w:t xml:space="preserve">(</w:t>
      </w:r>
      <w:r>
        <w:rPr>
          <w:lang w:val="en"/>
        </w:rPr>
        <w:t xml:space="preserve">∑</w:t>
      </w:r>
      <w:r>
        <w:rPr>
          <w:lang w:val="en"/>
        </w:rPr>
        <w:t xml:space="preserve">j</w:t>
      </w:r>
      <w:r>
        <w:rPr>
          <w:lang w:val="en"/>
        </w:rPr>
        <w:t xml:space="preserve">​</w:t>
      </w:r>
      <w:r>
        <w:rPr>
          <w:lang w:val="en"/>
        </w:rPr>
        <w:t xml:space="preserve">GVA</w:t>
      </w:r>
      <w:r>
        <w:rPr>
          <w:lang w:val="en"/>
        </w:rPr>
        <w:t xml:space="preserve">j</w:t>
      </w:r>
      <w:r>
        <w:rPr>
          <w:lang w:val="en"/>
        </w:rPr>
        <w:t xml:space="preserve">​</w:t>
      </w:r>
      <w:r>
        <w:rPr>
          <w:lang w:val="en"/>
        </w:rPr>
        <w:t xml:space="preserve">GVA</w:t>
      </w:r>
      <w:r>
        <w:rPr>
          <w:lang w:val="en"/>
        </w:rPr>
        <w:t xml:space="preserve">i</w:t>
      </w:r>
      <w:r>
        <w:rPr>
          <w:lang w:val="en"/>
        </w:rPr>
        <w:t xml:space="preserve">​</w:t>
      </w:r>
      <w:r>
        <w:rPr>
          <w:lang w:val="en"/>
        </w:rPr>
        <w:t xml:space="preserve">​</w:t>
      </w:r>
      <w:r>
        <w:rPr>
          <w:lang w:val="en"/>
        </w:rPr>
        <w:t xml:space="preserve">×</w:t>
      </w:r>
      <w:r>
        <w:rPr>
          <w:lang w:val="en"/>
        </w:rPr>
        <w:t xml:space="preserve">100</w:t>
      </w:r>
      <w:r>
        <w:rPr>
          <w:lang w:val="en"/>
        </w:rPr>
        <w:t xml:space="preserve">)</w:t>
      </w:r>
      <w:r>
        <w:rPr>
          <w:lang w:val="en"/>
        </w:rPr>
        <w:t xml:space="preserve">2</w:t>
      </w:r>
    </w:p>
    <w:p>
      <w:pPr>
        <w:pStyle w:val="FirstParagraph"/>
      </w:pPr>
      <w:r>
        <w:rPr>
          <w:lang w:val="en"/>
        </w:rPr>
        <w:t xml:space="preserve">¶9</w:t>
      </w:r>
      <w:r>
        <w:rPr>
          <w:lang w:val="en"/>
        </w:rPr>
        <w:t xml:space="preserve"> </w:t>
      </w:r>
      <w:r>
        <w:rPr>
          <w:lang w:val="en"/>
        </w:rPr>
        <w:t xml:space="preserve">The HHI ranges from near zero (highly diversified) to 10,000 (single industry). In antitrust analysis, an HHI above 2,500 is conventionally treated as indicating high concentration. For ocean economy sectoral analysis, however, compilers should interpret HHI values with caution. Small island developing States (SIDS) and countries with narrow resource endowments may exhibit structurally higher concentration in their ocean economies—dominated, for example, by fisheries and tourism—without this necessarily indicating a policy concern in the same way that high market concentration does. Compilers should present the HHI alongside the detailed composition data in Table 3.1 so that users can assess whether concentration reflects structural characteristics of the economy or an imbalance that warrants policy attention.</w:t>
      </w:r>
    </w:p>
    <w:bookmarkStart w:id="88" w:name="comparative-analysis"/>
    <w:p>
      <w:pPr>
        <w:pStyle w:val="Heading4"/>
      </w:pPr>
      <w:r>
        <w:rPr>
          <w:lang w:val="en"/>
        </w:rPr>
        <w:t xml:space="preserve">Comparative analysis</w:t>
      </w:r>
    </w:p>
    <w:p>
      <w:pPr>
        <w:pStyle w:val="FirstParagraph"/>
      </w:pPr>
      <w:hyperlink w:anchor="comparative-analysis">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“Comparative analysis”</w:t>
        </w:r>
      </w:hyperlink>
    </w:p>
    <w:bookmarkEnd w:id="88"/>
    <w:p>
      <w:pPr>
        <w:pStyle w:val="BodyText"/>
      </w:pPr>
      <w:r>
        <w:rPr>
          <w:lang w:val="en"/>
        </w:rPr>
        <w:t xml:space="preserve">¶1</w:t>
      </w:r>
      <w:r>
        <w:rPr>
          <w:lang w:val="en"/>
        </w:rPr>
        <w:t xml:space="preserve"> </w:t>
      </w:r>
      <w:r>
        <w:rPr>
          <w:lang w:val="en"/>
        </w:rPr>
        <w:t xml:space="preserve">Recommended comparisons include:</w:t>
      </w:r>
    </w:p>
    <w:p>
      <w:pPr>
        <w:numPr>
          <w:ilvl w:val="0"/>
          <w:numId w:val="1012"/>
        </w:numPr>
      </w:pPr>
      <w:r>
        <w:rPr>
          <w:lang w:val="en"/>
        </w:rPr>
        <w:t xml:space="preserve">¶2</w:t>
      </w:r>
      <w:r>
        <w:rPr>
          <w:lang w:val="en"/>
        </w:rPr>
        <w:t xml:space="preserve"> </w:t>
      </w:r>
    </w:p>
    <w:p>
      <w:pPr>
        <w:numPr>
          <w:ilvl w:val="0"/>
          <w:numId w:val="1000"/>
        </w:numPr>
      </w:pPr>
      <w:r>
        <w:rPr>
          <w:bCs/>
          <w:b/>
          <w:lang w:val="en"/>
        </w:rPr>
        <w:t xml:space="preserve">Comparison to national economy</w:t>
      </w:r>
      <w:r>
        <w:rPr>
          <w:lang w:val="en"/>
        </w:rPr>
        <w:t xml:space="preserve"> </w:t>
      </w:r>
      <w:r>
        <w:rPr>
          <w:lang w:val="en"/>
        </w:rPr>
        <w:t xml:space="preserve">— comparing ocean industry shares to their shares in the national economy reveals specialisation patterns</w:t>
      </w:r>
    </w:p>
    <w:p>
      <w:pPr>
        <w:numPr>
          <w:ilvl w:val="0"/>
          <w:numId w:val="1012"/>
        </w:numPr>
      </w:pPr>
      <w:r>
        <w:rPr>
          <w:lang w:val="en"/>
        </w:rPr>
        <w:t xml:space="preserve">¶3</w:t>
      </w:r>
      <w:r>
        <w:rPr>
          <w:lang w:val="en"/>
        </w:rPr>
        <w:t xml:space="preserve"> </w:t>
      </w:r>
    </w:p>
    <w:p>
      <w:pPr>
        <w:numPr>
          <w:ilvl w:val="0"/>
          <w:numId w:val="1000"/>
        </w:numPr>
      </w:pPr>
      <w:r>
        <w:rPr>
          <w:bCs/>
          <w:b/>
          <w:lang w:val="en"/>
        </w:rPr>
        <w:t xml:space="preserve">Comparison over time</w:t>
      </w:r>
      <w:r>
        <w:rPr>
          <w:lang w:val="en"/>
        </w:rPr>
        <w:t xml:space="preserve"> </w:t>
      </w:r>
      <w:r>
        <w:rPr>
          <w:lang w:val="en"/>
        </w:rPr>
        <w:t xml:space="preserve">— tracking composition changes reveals structural transformation (e.g., growth of offshore energy relative to traditional fishing)</w:t>
      </w:r>
    </w:p>
    <w:p>
      <w:pPr>
        <w:numPr>
          <w:ilvl w:val="0"/>
          <w:numId w:val="1012"/>
        </w:numPr>
      </w:pPr>
      <w:r>
        <w:rPr>
          <w:lang w:val="en"/>
        </w:rPr>
        <w:t xml:space="preserve">¶4</w:t>
      </w:r>
      <w:r>
        <w:rPr>
          <w:lang w:val="en"/>
        </w:rPr>
        <w:t xml:space="preserve"> </w:t>
      </w:r>
    </w:p>
    <w:p>
      <w:pPr>
        <w:numPr>
          <w:ilvl w:val="0"/>
          <w:numId w:val="1000"/>
        </w:numPr>
      </w:pPr>
      <w:r>
        <w:rPr>
          <w:bCs/>
          <w:b/>
          <w:lang w:val="en"/>
        </w:rPr>
        <w:t xml:space="preserve">International comparison</w:t>
      </w:r>
      <w:r>
        <w:rPr>
          <w:lang w:val="en"/>
        </w:rPr>
        <w:t xml:space="preserve"> </w:t>
      </w:r>
      <w:r>
        <w:rPr>
          <w:lang w:val="en"/>
        </w:rPr>
        <w:t xml:space="preserve">— comparing ocean economy structure across countries reveals different endowments and development patterns</w:t>
      </w:r>
    </w:p>
    <w:p>
      <w:pPr>
        <w:pStyle w:val="FirstParagraph"/>
      </w:pPr>
      <w:r>
        <w:rPr>
          <w:lang w:val="en"/>
        </w:rPr>
        <w:t xml:space="preserve">¶5</w:t>
      </w:r>
      <w:r>
        <w:rPr>
          <w:lang w:val="en"/>
        </w:rPr>
        <w:t xml:space="preserve"> </w:t>
      </w:r>
      <w:r>
        <w:rPr>
          <w:lang w:val="en"/>
        </w:rPr>
        <w:t xml:space="preserve">Table 3.1 presents sector composition indicators for a hypothetical medium-income coastal state (“Country A”) with a total GDP of approximately USD 50 billion, total employment of 10 million persons, and an ocean economy representing 3.5 per cent of national GVA. All monetary values are expressed in millions of USD.</w:t>
      </w:r>
    </w:p>
    <w:p>
      <w:pPr>
        <w:pStyle w:val="BodyText"/>
      </w:pPr>
      <w:r>
        <w:rPr>
          <w:lang w:val="en"/>
        </w:rPr>
        <w:t xml:space="preserve">¶6</w:t>
      </w:r>
      <w:r>
        <w:rPr>
          <w:lang w:val="en"/>
        </w:rPr>
        <w:t xml:space="preserve"> </w:t>
      </w:r>
      <w:r>
        <w:rPr>
          <w:bCs/>
          <w:b/>
          <w:lang w:val="en"/>
        </w:rPr>
        <w:t xml:space="preserve">Table 3.1: Ocean economy sector composition (Country A, illustrative)</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Industry (ISIC)</w:t>
            </w:r>
          </w:p>
        </w:tc>
        <w:tc>
          <w:tcPr/>
          <w:p>
            <w:pPr>
              <w:pStyle w:val="Compact"/>
              <w:jc w:val="left"/>
            </w:pPr>
            <w:r>
              <w:rPr>
                <w:lang w:val="en"/>
              </w:rPr>
              <w:t xml:space="preserve">Output (million USD)</w:t>
            </w:r>
          </w:p>
        </w:tc>
        <w:tc>
          <w:tcPr/>
          <w:p>
            <w:pPr>
              <w:pStyle w:val="Compact"/>
              <w:jc w:val="left"/>
            </w:pPr>
            <w:r>
              <w:rPr>
                <w:lang w:val="en"/>
              </w:rPr>
              <w:t xml:space="preserve">GVA (million USD)</w:t>
            </w:r>
          </w:p>
        </w:tc>
        <w:tc>
          <w:tcPr/>
          <w:p>
            <w:pPr>
              <w:pStyle w:val="Compact"/>
              <w:jc w:val="left"/>
            </w:pPr>
            <w:r>
              <w:rPr>
                <w:lang w:val="en"/>
              </w:rPr>
              <w:t xml:space="preserve">Employment (persons)</w:t>
            </w:r>
          </w:p>
        </w:tc>
        <w:tc>
          <w:tcPr/>
          <w:p>
            <w:pPr>
              <w:pStyle w:val="Compact"/>
              <w:jc w:val="left"/>
            </w:pPr>
            <w:r>
              <w:rPr>
                <w:lang w:val="en"/>
              </w:rPr>
              <w:t xml:space="preserve">Output share (%)</w:t>
            </w:r>
          </w:p>
        </w:tc>
        <w:tc>
          <w:tcPr/>
          <w:p>
            <w:pPr>
              <w:pStyle w:val="Compact"/>
              <w:jc w:val="left"/>
            </w:pPr>
            <w:r>
              <w:rPr>
                <w:lang w:val="en"/>
              </w:rPr>
              <w:t xml:space="preserve">GVA share (%)</w:t>
            </w:r>
          </w:p>
        </w:tc>
        <w:tc>
          <w:tcPr/>
          <w:p>
            <w:pPr>
              <w:pStyle w:val="Compact"/>
              <w:jc w:val="left"/>
            </w:pPr>
            <w:r>
              <w:rPr>
                <w:lang w:val="en"/>
              </w:rPr>
              <w:t xml:space="preserve">Employment share (%)</w:t>
            </w:r>
          </w:p>
        </w:tc>
      </w:tr>
      <w:tr>
        <w:tc>
          <w:tcPr/>
          <w:p>
            <w:pPr>
              <w:pStyle w:val="Compact"/>
              <w:jc w:val="left"/>
            </w:pPr>
            <w:r>
              <w:rPr>
                <w:lang w:val="en"/>
              </w:rPr>
              <w:t xml:space="preserve">Coastal and marine tourism (partial 5510, 5610, 9319)</w:t>
            </w:r>
          </w:p>
        </w:tc>
        <w:tc>
          <w:tcPr/>
          <w:p>
            <w:pPr>
              <w:pStyle w:val="Compact"/>
              <w:jc w:val="left"/>
            </w:pPr>
            <w:r>
              <w:rPr>
                <w:lang w:val="en"/>
              </w:rPr>
              <w:t xml:space="preserve">933</w:t>
            </w:r>
          </w:p>
        </w:tc>
        <w:tc>
          <w:tcPr/>
          <w:p>
            <w:pPr>
              <w:pStyle w:val="Compact"/>
              <w:jc w:val="left"/>
            </w:pPr>
            <w:r>
              <w:rPr>
                <w:lang w:val="en"/>
              </w:rPr>
              <w:t xml:space="preserve">560</w:t>
            </w:r>
          </w:p>
        </w:tc>
        <w:tc>
          <w:tcPr/>
          <w:p>
            <w:pPr>
              <w:pStyle w:val="Compact"/>
              <w:jc w:val="left"/>
            </w:pPr>
            <w:r>
              <w:rPr>
                <w:lang w:val="en"/>
              </w:rPr>
              <w:t xml:space="preserve">153,000</w:t>
            </w:r>
          </w:p>
        </w:tc>
        <w:tc>
          <w:tcPr/>
          <w:p>
            <w:pPr>
              <w:pStyle w:val="Compact"/>
              <w:jc w:val="left"/>
            </w:pPr>
            <w:r>
              <w:rPr>
                <w:lang w:val="en"/>
              </w:rPr>
              <w:t xml:space="preserve">27.2</w:t>
            </w:r>
          </w:p>
        </w:tc>
        <w:tc>
          <w:tcPr/>
          <w:p>
            <w:pPr>
              <w:pStyle w:val="Compact"/>
              <w:jc w:val="left"/>
            </w:pPr>
            <w:r>
              <w:rPr>
                <w:lang w:val="en"/>
              </w:rPr>
              <w:t xml:space="preserve">32.0</w:t>
            </w:r>
          </w:p>
        </w:tc>
        <w:tc>
          <w:tcPr/>
          <w:p>
            <w:pPr>
              <w:pStyle w:val="Compact"/>
              <w:jc w:val="left"/>
            </w:pPr>
            <w:r>
              <w:rPr>
                <w:lang w:val="en"/>
              </w:rPr>
              <w:t xml:space="preserve">51.0</w:t>
            </w:r>
          </w:p>
        </w:tc>
      </w:tr>
      <w:tr>
        <w:tc>
          <w:tcPr/>
          <w:p>
            <w:pPr>
              <w:pStyle w:val="Compact"/>
              <w:jc w:val="left"/>
            </w:pPr>
            <w:r>
              <w:rPr>
                <w:lang w:val="en"/>
              </w:rPr>
              <w:t xml:space="preserve">Offshore oil and gas (06)</w:t>
            </w:r>
          </w:p>
        </w:tc>
        <w:tc>
          <w:tcPr/>
          <w:p>
            <w:pPr>
              <w:pStyle w:val="Compact"/>
              <w:jc w:val="left"/>
            </w:pPr>
            <w:r>
              <w:rPr>
                <w:lang w:val="en"/>
              </w:rPr>
              <w:t xml:space="preserve">933</w:t>
            </w:r>
          </w:p>
        </w:tc>
        <w:tc>
          <w:tcPr/>
          <w:p>
            <w:pPr>
              <w:pStyle w:val="Compact"/>
              <w:jc w:val="left"/>
            </w:pPr>
            <w:r>
              <w:rPr>
                <w:lang w:val="en"/>
              </w:rPr>
              <w:t xml:space="preserve">420</w:t>
            </w:r>
          </w:p>
        </w:tc>
        <w:tc>
          <w:tcPr/>
          <w:p>
            <w:pPr>
              <w:pStyle w:val="Compact"/>
              <w:jc w:val="left"/>
            </w:pPr>
            <w:r>
              <w:rPr>
                <w:lang w:val="en"/>
              </w:rPr>
              <w:t xml:space="preserve">24,000</w:t>
            </w:r>
          </w:p>
        </w:tc>
        <w:tc>
          <w:tcPr/>
          <w:p>
            <w:pPr>
              <w:pStyle w:val="Compact"/>
              <w:jc w:val="left"/>
            </w:pPr>
            <w:r>
              <w:rPr>
                <w:lang w:val="en"/>
              </w:rPr>
              <w:t xml:space="preserve">27.1</w:t>
            </w:r>
          </w:p>
        </w:tc>
        <w:tc>
          <w:tcPr/>
          <w:p>
            <w:pPr>
              <w:pStyle w:val="Compact"/>
              <w:jc w:val="left"/>
            </w:pPr>
            <w:r>
              <w:rPr>
                <w:lang w:val="en"/>
              </w:rPr>
              <w:t xml:space="preserve">24.0</w:t>
            </w:r>
          </w:p>
        </w:tc>
        <w:tc>
          <w:tcPr/>
          <w:p>
            <w:pPr>
              <w:pStyle w:val="Compact"/>
              <w:jc w:val="left"/>
            </w:pPr>
            <w:r>
              <w:rPr>
                <w:lang w:val="en"/>
              </w:rPr>
              <w:t xml:space="preserve">8.0</w:t>
            </w:r>
          </w:p>
        </w:tc>
      </w:tr>
      <w:tr>
        <w:tc>
          <w:tcPr/>
          <w:p>
            <w:pPr>
              <w:pStyle w:val="Compact"/>
              <w:jc w:val="left"/>
            </w:pPr>
            <w:r>
              <w:rPr>
                <w:lang w:val="en"/>
              </w:rPr>
              <w:t xml:space="preserve">Maritime transport and ports (501, 5222, 5224)</w:t>
            </w:r>
          </w:p>
        </w:tc>
        <w:tc>
          <w:tcPr/>
          <w:p>
            <w:pPr>
              <w:pStyle w:val="Compact"/>
              <w:jc w:val="left"/>
            </w:pPr>
            <w:r>
              <w:rPr>
                <w:lang w:val="en"/>
              </w:rPr>
              <w:t xml:space="preserve">630</w:t>
            </w:r>
          </w:p>
        </w:tc>
        <w:tc>
          <w:tcPr/>
          <w:p>
            <w:pPr>
              <w:pStyle w:val="Compact"/>
              <w:jc w:val="left"/>
            </w:pPr>
            <w:r>
              <w:rPr>
                <w:lang w:val="en"/>
              </w:rPr>
              <w:t xml:space="preserve">315</w:t>
            </w:r>
          </w:p>
        </w:tc>
        <w:tc>
          <w:tcPr/>
          <w:p>
            <w:pPr>
              <w:pStyle w:val="Compact"/>
              <w:jc w:val="left"/>
            </w:pPr>
            <w:r>
              <w:rPr>
                <w:lang w:val="en"/>
              </w:rPr>
              <w:t xml:space="preserve">36,000</w:t>
            </w:r>
          </w:p>
        </w:tc>
        <w:tc>
          <w:tcPr/>
          <w:p>
            <w:pPr>
              <w:pStyle w:val="Compact"/>
              <w:jc w:val="left"/>
            </w:pPr>
            <w:r>
              <w:rPr>
                <w:lang w:val="en"/>
              </w:rPr>
              <w:t xml:space="preserve">18.3</w:t>
            </w:r>
          </w:p>
        </w:tc>
        <w:tc>
          <w:tcPr/>
          <w:p>
            <w:pPr>
              <w:pStyle w:val="Compact"/>
              <w:jc w:val="left"/>
            </w:pPr>
            <w:r>
              <w:rPr>
                <w:lang w:val="en"/>
              </w:rPr>
              <w:t xml:space="preserve">18.0</w:t>
            </w:r>
          </w:p>
        </w:tc>
        <w:tc>
          <w:tcPr/>
          <w:p>
            <w:pPr>
              <w:pStyle w:val="Compact"/>
              <w:jc w:val="left"/>
            </w:pPr>
            <w:r>
              <w:rPr>
                <w:lang w:val="en"/>
              </w:rPr>
              <w:t xml:space="preserve">12.0</w:t>
            </w:r>
          </w:p>
        </w:tc>
      </w:tr>
      <w:tr>
        <w:tc>
          <w:tcPr/>
          <w:p>
            <w:pPr>
              <w:pStyle w:val="Compact"/>
              <w:jc w:val="left"/>
            </w:pPr>
            <w:r>
              <w:rPr>
                <w:lang w:val="en"/>
              </w:rPr>
              <w:t xml:space="preserve">Marine living resources (0311, 0321, 1020)</w:t>
            </w:r>
          </w:p>
        </w:tc>
        <w:tc>
          <w:tcPr/>
          <w:p>
            <w:pPr>
              <w:pStyle w:val="Compact"/>
              <w:jc w:val="left"/>
            </w:pPr>
            <w:r>
              <w:rPr>
                <w:lang w:val="en"/>
              </w:rPr>
              <w:t xml:space="preserve">318</w:t>
            </w:r>
          </w:p>
        </w:tc>
        <w:tc>
          <w:tcPr/>
          <w:p>
            <w:pPr>
              <w:pStyle w:val="Compact"/>
              <w:jc w:val="left"/>
            </w:pPr>
            <w:r>
              <w:rPr>
                <w:lang w:val="en"/>
              </w:rPr>
              <w:t xml:space="preserve">175</w:t>
            </w:r>
          </w:p>
        </w:tc>
        <w:tc>
          <w:tcPr/>
          <w:p>
            <w:pPr>
              <w:pStyle w:val="Compact"/>
              <w:jc w:val="left"/>
            </w:pPr>
            <w:r>
              <w:rPr>
                <w:lang w:val="en"/>
              </w:rPr>
              <w:t xml:space="preserve">54,000</w:t>
            </w:r>
          </w:p>
        </w:tc>
        <w:tc>
          <w:tcPr/>
          <w:p>
            <w:pPr>
              <w:pStyle w:val="Compact"/>
              <w:jc w:val="left"/>
            </w:pPr>
            <w:r>
              <w:rPr>
                <w:lang w:val="en"/>
              </w:rPr>
              <w:t xml:space="preserve">9.3</w:t>
            </w:r>
          </w:p>
        </w:tc>
        <w:tc>
          <w:tcPr/>
          <w:p>
            <w:pPr>
              <w:pStyle w:val="Compact"/>
              <w:jc w:val="left"/>
            </w:pPr>
            <w:r>
              <w:rPr>
                <w:lang w:val="en"/>
              </w:rPr>
              <w:t xml:space="preserve">10.0</w:t>
            </w:r>
          </w:p>
        </w:tc>
        <w:tc>
          <w:tcPr/>
          <w:p>
            <w:pPr>
              <w:pStyle w:val="Compact"/>
              <w:jc w:val="left"/>
            </w:pPr>
            <w:r>
              <w:rPr>
                <w:lang w:val="en"/>
              </w:rPr>
              <w:t xml:space="preserve">18.0</w:t>
            </w:r>
          </w:p>
        </w:tc>
      </w:tr>
      <w:tr>
        <w:tc>
          <w:tcPr/>
          <w:p>
            <w:pPr>
              <w:pStyle w:val="Compact"/>
              <w:jc w:val="left"/>
            </w:pPr>
            <w:r>
              <w:rPr>
                <w:lang w:val="en"/>
              </w:rPr>
              <w:t xml:space="preserve">Shipbuilding and repair (3011, 3012)</w:t>
            </w:r>
          </w:p>
        </w:tc>
        <w:tc>
          <w:tcPr/>
          <w:p>
            <w:pPr>
              <w:pStyle w:val="Compact"/>
              <w:jc w:val="left"/>
            </w:pPr>
            <w:r>
              <w:rPr>
                <w:lang w:val="en"/>
              </w:rPr>
              <w:t xml:space="preserve">308</w:t>
            </w:r>
          </w:p>
        </w:tc>
        <w:tc>
          <w:tcPr/>
          <w:p>
            <w:pPr>
              <w:pStyle w:val="Compact"/>
              <w:jc w:val="left"/>
            </w:pPr>
            <w:r>
              <w:rPr>
                <w:lang w:val="en"/>
              </w:rPr>
              <w:t xml:space="preserve">123</w:t>
            </w:r>
          </w:p>
        </w:tc>
        <w:tc>
          <w:tcPr/>
          <w:p>
            <w:pPr>
              <w:pStyle w:val="Compact"/>
              <w:jc w:val="left"/>
            </w:pPr>
            <w:r>
              <w:rPr>
                <w:lang w:val="en"/>
              </w:rPr>
              <w:t xml:space="preserve">18,000</w:t>
            </w:r>
          </w:p>
        </w:tc>
        <w:tc>
          <w:tcPr/>
          <w:p>
            <w:pPr>
              <w:pStyle w:val="Compact"/>
              <w:jc w:val="left"/>
            </w:pPr>
            <w:r>
              <w:rPr>
                <w:lang w:val="en"/>
              </w:rPr>
              <w:t xml:space="preserve">9.0</w:t>
            </w:r>
          </w:p>
        </w:tc>
        <w:tc>
          <w:tcPr/>
          <w:p>
            <w:pPr>
              <w:pStyle w:val="Compact"/>
              <w:jc w:val="left"/>
            </w:pPr>
            <w:r>
              <w:rPr>
                <w:lang w:val="en"/>
              </w:rPr>
              <w:t xml:space="preserve">7.0</w:t>
            </w:r>
          </w:p>
        </w:tc>
        <w:tc>
          <w:tcPr/>
          <w:p>
            <w:pPr>
              <w:pStyle w:val="Compact"/>
              <w:jc w:val="left"/>
            </w:pPr>
            <w:r>
              <w:rPr>
                <w:lang w:val="en"/>
              </w:rPr>
              <w:t xml:space="preserve">6.0</w:t>
            </w:r>
          </w:p>
        </w:tc>
      </w:tr>
      <w:tr>
        <w:tc>
          <w:tcPr/>
          <w:p>
            <w:pPr>
              <w:pStyle w:val="Compact"/>
              <w:jc w:val="left"/>
            </w:pPr>
            <w:r>
              <w:rPr>
                <w:lang w:val="en"/>
              </w:rPr>
              <w:t xml:space="preserve">Marine renewable energy (3510 partial)</w:t>
            </w:r>
          </w:p>
        </w:tc>
        <w:tc>
          <w:tcPr/>
          <w:p>
            <w:pPr>
              <w:pStyle w:val="Compact"/>
              <w:jc w:val="left"/>
            </w:pPr>
            <w:r>
              <w:rPr>
                <w:lang w:val="en"/>
              </w:rPr>
              <w:t xml:space="preserve">140</w:t>
            </w:r>
          </w:p>
        </w:tc>
        <w:tc>
          <w:tcPr/>
          <w:p>
            <w:pPr>
              <w:pStyle w:val="Compact"/>
              <w:jc w:val="left"/>
            </w:pPr>
            <w:r>
              <w:rPr>
                <w:lang w:val="en"/>
              </w:rPr>
              <w:t xml:space="preserve">70</w:t>
            </w:r>
          </w:p>
        </w:tc>
        <w:tc>
          <w:tcPr/>
          <w:p>
            <w:pPr>
              <w:pStyle w:val="Compact"/>
              <w:jc w:val="left"/>
            </w:pPr>
            <w:r>
              <w:rPr>
                <w:lang w:val="en"/>
              </w:rPr>
              <w:t xml:space="preserve">6,000</w:t>
            </w:r>
          </w:p>
        </w:tc>
        <w:tc>
          <w:tcPr/>
          <w:p>
            <w:pPr>
              <w:pStyle w:val="Compact"/>
              <w:jc w:val="left"/>
            </w:pPr>
            <w:r>
              <w:rPr>
                <w:lang w:val="en"/>
              </w:rPr>
              <w:t xml:space="preserve">4.1</w:t>
            </w:r>
          </w:p>
        </w:tc>
        <w:tc>
          <w:tcPr/>
          <w:p>
            <w:pPr>
              <w:pStyle w:val="Compact"/>
              <w:jc w:val="left"/>
            </w:pPr>
            <w:r>
              <w:rPr>
                <w:lang w:val="en"/>
              </w:rPr>
              <w:t xml:space="preserve">4.0</w:t>
            </w:r>
          </w:p>
        </w:tc>
        <w:tc>
          <w:tcPr/>
          <w:p>
            <w:pPr>
              <w:pStyle w:val="Compact"/>
              <w:jc w:val="left"/>
            </w:pPr>
            <w:r>
              <w:rPr>
                <w:lang w:val="en"/>
              </w:rPr>
              <w:t xml:space="preserve">2.0</w:t>
            </w:r>
          </w:p>
        </w:tc>
      </w:tr>
      <w:tr>
        <w:tc>
          <w:tcPr/>
          <w:p>
            <w:pPr>
              <w:pStyle w:val="Compact"/>
              <w:jc w:val="left"/>
            </w:pPr>
            <w:r>
              <w:rPr>
                <w:lang w:val="en"/>
              </w:rPr>
              <w:t xml:space="preserve">Other ocean industries (7210, 8423, etc.)</w:t>
            </w:r>
          </w:p>
        </w:tc>
        <w:tc>
          <w:tcPr/>
          <w:p>
            <w:pPr>
              <w:pStyle w:val="Compact"/>
              <w:jc w:val="left"/>
            </w:pPr>
            <w:r>
              <w:rPr>
                <w:lang w:val="en"/>
              </w:rPr>
              <w:t xml:space="preserve">174</w:t>
            </w:r>
          </w:p>
        </w:tc>
        <w:tc>
          <w:tcPr/>
          <w:p>
            <w:pPr>
              <w:pStyle w:val="Compact"/>
              <w:jc w:val="left"/>
            </w:pPr>
            <w:r>
              <w:rPr>
                <w:lang w:val="en"/>
              </w:rPr>
              <w:t xml:space="preserve">87</w:t>
            </w:r>
          </w:p>
        </w:tc>
        <w:tc>
          <w:tcPr/>
          <w:p>
            <w:pPr>
              <w:pStyle w:val="Compact"/>
              <w:jc w:val="left"/>
            </w:pPr>
            <w:r>
              <w:rPr>
                <w:lang w:val="en"/>
              </w:rPr>
              <w:t xml:space="preserve">9,000</w:t>
            </w:r>
          </w:p>
        </w:tc>
        <w:tc>
          <w:tcPr/>
          <w:p>
            <w:pPr>
              <w:pStyle w:val="Compact"/>
              <w:jc w:val="left"/>
            </w:pPr>
            <w:r>
              <w:rPr>
                <w:lang w:val="en"/>
              </w:rPr>
              <w:t xml:space="preserve">5.0</w:t>
            </w:r>
          </w:p>
        </w:tc>
        <w:tc>
          <w:tcPr/>
          <w:p>
            <w:pPr>
              <w:pStyle w:val="Compact"/>
              <w:jc w:val="left"/>
            </w:pPr>
            <w:r>
              <w:rPr>
                <w:lang w:val="en"/>
              </w:rPr>
              <w:t xml:space="preserve">5.0</w:t>
            </w:r>
          </w:p>
        </w:tc>
        <w:tc>
          <w:tcPr/>
          <w:p>
            <w:pPr>
              <w:pStyle w:val="Compact"/>
              <w:jc w:val="left"/>
            </w:pPr>
            <w:r>
              <w:rPr>
                <w:lang w:val="en"/>
              </w:rPr>
              <w:t xml:space="preserve">3.0</w:t>
            </w:r>
          </w:p>
        </w:tc>
      </w:tr>
      <w:tr>
        <w:tc>
          <w:tcPr/>
          <w:p>
            <w:pPr>
              <w:pStyle w:val="Compact"/>
              <w:jc w:val="left"/>
            </w:pPr>
            <w:r>
              <w:rPr>
                <w:bCs/>
                <w:b/>
                <w:lang w:val="en"/>
              </w:rPr>
              <w:t xml:space="preserve">Total ocean economy</w:t>
            </w:r>
          </w:p>
        </w:tc>
        <w:tc>
          <w:tcPr/>
          <w:p>
            <w:pPr>
              <w:pStyle w:val="Compact"/>
              <w:jc w:val="left"/>
            </w:pPr>
            <w:r>
              <w:rPr>
                <w:bCs/>
                <w:b/>
                <w:lang w:val="en"/>
              </w:rPr>
              <w:t xml:space="preserve">3,436</w:t>
            </w:r>
          </w:p>
        </w:tc>
        <w:tc>
          <w:tcPr/>
          <w:p>
            <w:pPr>
              <w:pStyle w:val="Compact"/>
              <w:jc w:val="left"/>
            </w:pPr>
            <w:r>
              <w:rPr>
                <w:bCs/>
                <w:b/>
                <w:lang w:val="en"/>
              </w:rPr>
              <w:t xml:space="preserve">1,750</w:t>
            </w:r>
          </w:p>
        </w:tc>
        <w:tc>
          <w:tcPr/>
          <w:p>
            <w:pPr>
              <w:pStyle w:val="Compact"/>
              <w:jc w:val="left"/>
            </w:pPr>
            <w:r>
              <w:rPr>
                <w:bCs/>
                <w:b/>
                <w:lang w:val="en"/>
              </w:rPr>
              <w:t xml:space="preserve">300,000</w:t>
            </w:r>
          </w:p>
        </w:tc>
        <w:tc>
          <w:tcPr/>
          <w:p>
            <w:pPr>
              <w:pStyle w:val="Compact"/>
              <w:jc w:val="left"/>
            </w:pPr>
            <w:r>
              <w:rPr>
                <w:bCs/>
                <w:b/>
                <w:lang w:val="en"/>
              </w:rPr>
              <w:t xml:space="preserve">100.0</w:t>
            </w:r>
          </w:p>
        </w:tc>
        <w:tc>
          <w:tcPr/>
          <w:p>
            <w:pPr>
              <w:pStyle w:val="Compact"/>
              <w:jc w:val="left"/>
            </w:pPr>
            <w:r>
              <w:rPr>
                <w:bCs/>
                <w:b/>
                <w:lang w:val="en"/>
              </w:rPr>
              <w:t xml:space="preserve">100.0</w:t>
            </w:r>
          </w:p>
        </w:tc>
        <w:tc>
          <w:tcPr/>
          <w:p>
            <w:pPr>
              <w:pStyle w:val="Compact"/>
              <w:jc w:val="left"/>
            </w:pPr>
            <w:r>
              <w:rPr>
                <w:bCs/>
                <w:b/>
                <w:lang w:val="en"/>
              </w:rPr>
              <w:t xml:space="preserve">100.0</w:t>
            </w:r>
          </w:p>
        </w:tc>
      </w:tr>
    </w:tbl>
    <w:p>
      <w:pPr>
        <w:pStyle w:val="BodyText"/>
      </w:pPr>
      <w:r>
        <w:rPr>
          <w:lang w:val="en"/>
        </w:rPr>
        <w:t xml:space="preserve">¶7</w:t>
      </w:r>
      <w:r>
        <w:rPr>
          <w:lang w:val="en"/>
        </w:rPr>
        <w:t xml:space="preserve"> </w:t>
      </w:r>
      <w:r>
        <w:rPr>
          <w:lang w:val="en"/>
        </w:rPr>
        <w:t xml:space="preserve">The HHI computed from the GVA shares in Table 3.1 is approximately 2,114 (= 32.0^2 + 24.0^2 + 18.0^2 + 10.0^2 + 7.0^2 + 4.0^2 + 5.0^2), indicating moderate concentration. Two sectors—coastal and marine tourism and offshore energy—together account for 56 per cent of ocean GVA, a pattern common in medium-income coastal states with established hydrocarbon production.</w:t>
      </w:r>
    </w:p>
    <w:p>
      <w:pPr>
        <w:pStyle w:val="BodyText"/>
      </w:pPr>
      <w:r>
        <w:rPr>
          <w:lang w:val="en"/>
        </w:rPr>
        <w:t xml:space="preserve">¶8</w:t>
      </w:r>
      <w:r>
        <w:rPr>
          <w:lang w:val="en"/>
        </w:rPr>
        <w:t xml:space="preserve"> </w:t>
      </w:r>
      <w:r>
        <w:rPr>
          <w:lang w:val="en"/>
        </w:rPr>
        <w:t xml:space="preserve">To make comparative analysis concrete, Table 3.1a presents a recommended format for comparing ocean economy structure against the national economy. This comparative presentation, adapted from the SF-MST approach to characterising tourism industries (SF-MST Table 3.3), enables identification of sectors in which the ocean economy is relatively more or less intensive than the national economy as a whole.</w:t>
      </w:r>
    </w:p>
    <w:p>
      <w:pPr>
        <w:pStyle w:val="BodyText"/>
      </w:pPr>
      <w:r>
        <w:rPr>
          <w:lang w:val="en"/>
        </w:rPr>
        <w:t xml:space="preserve">¶9</w:t>
      </w:r>
      <w:r>
        <w:rPr>
          <w:lang w:val="en"/>
        </w:rPr>
        <w:t xml:space="preserve"> </w:t>
      </w:r>
      <w:r>
        <w:rPr>
          <w:bCs/>
          <w:b/>
          <w:lang w:val="en"/>
        </w:rPr>
        <w:t xml:space="preserve">Table 3.1a: Ocean economy versus national economy structure (Country A,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Indicator</w:t>
            </w:r>
          </w:p>
        </w:tc>
        <w:tc>
          <w:tcPr/>
          <w:p>
            <w:pPr>
              <w:pStyle w:val="Compact"/>
              <w:jc w:val="left"/>
            </w:pPr>
            <w:r>
              <w:rPr>
                <w:lang w:val="en"/>
              </w:rPr>
              <w:t xml:space="preserve">Ocean economy</w:t>
            </w:r>
          </w:p>
        </w:tc>
        <w:tc>
          <w:tcPr/>
          <w:p>
            <w:pPr>
              <w:pStyle w:val="Compact"/>
              <w:jc w:val="left"/>
            </w:pPr>
            <w:r>
              <w:rPr>
                <w:lang w:val="en"/>
              </w:rPr>
              <w:t xml:space="preserve">National economy</w:t>
            </w:r>
          </w:p>
        </w:tc>
        <w:tc>
          <w:tcPr/>
          <w:p>
            <w:pPr>
              <w:pStyle w:val="Compact"/>
              <w:jc w:val="left"/>
            </w:pPr>
            <w:r>
              <w:rPr>
                <w:lang w:val="en"/>
              </w:rPr>
              <w:t xml:space="preserve">Ocean share of national (%)</w:t>
            </w:r>
          </w:p>
        </w:tc>
      </w:tr>
      <w:tr>
        <w:tc>
          <w:tcPr/>
          <w:p>
            <w:pPr>
              <w:pStyle w:val="Compact"/>
              <w:jc w:val="left"/>
            </w:pPr>
            <w:r>
              <w:rPr>
                <w:lang w:val="en"/>
              </w:rPr>
              <w:t xml:space="preserve">Total output (million USD)</w:t>
            </w:r>
          </w:p>
        </w:tc>
        <w:tc>
          <w:tcPr/>
          <w:p>
            <w:pPr>
              <w:pStyle w:val="Compact"/>
              <w:jc w:val="left"/>
            </w:pPr>
            <w:r>
              <w:rPr>
                <w:lang w:val="en"/>
              </w:rPr>
              <w:t xml:space="preserve">3,436</w:t>
            </w:r>
          </w:p>
        </w:tc>
        <w:tc>
          <w:tcPr/>
          <w:p>
            <w:pPr>
              <w:pStyle w:val="Compact"/>
              <w:jc w:val="left"/>
            </w:pPr>
            <w:r>
              <w:rPr>
                <w:lang w:val="en"/>
              </w:rPr>
              <w:t xml:space="preserve">100,000</w:t>
            </w:r>
          </w:p>
        </w:tc>
        <w:tc>
          <w:tcPr/>
          <w:p>
            <w:pPr>
              <w:pStyle w:val="Compact"/>
              <w:jc w:val="left"/>
            </w:pPr>
            <w:r>
              <w:rPr>
                <w:lang w:val="en"/>
              </w:rPr>
              <w:t xml:space="preserve">3.4</w:t>
            </w:r>
          </w:p>
        </w:tc>
      </w:tr>
      <w:tr>
        <w:tc>
          <w:tcPr/>
          <w:p>
            <w:pPr>
              <w:pStyle w:val="Compact"/>
              <w:jc w:val="left"/>
            </w:pPr>
            <w:r>
              <w:rPr>
                <w:lang w:val="en"/>
              </w:rPr>
              <w:t xml:space="preserve">GVA (million USD)</w:t>
            </w:r>
          </w:p>
        </w:tc>
        <w:tc>
          <w:tcPr/>
          <w:p>
            <w:pPr>
              <w:pStyle w:val="Compact"/>
              <w:jc w:val="left"/>
            </w:pPr>
            <w:r>
              <w:rPr>
                <w:lang w:val="en"/>
              </w:rPr>
              <w:t xml:space="preserve">1,750</w:t>
            </w:r>
          </w:p>
        </w:tc>
        <w:tc>
          <w:tcPr/>
          <w:p>
            <w:pPr>
              <w:pStyle w:val="Compact"/>
              <w:jc w:val="left"/>
            </w:pPr>
            <w:r>
              <w:rPr>
                <w:lang w:val="en"/>
              </w:rPr>
              <w:t xml:space="preserve">50,000</w:t>
            </w:r>
          </w:p>
        </w:tc>
        <w:tc>
          <w:tcPr/>
          <w:p>
            <w:pPr>
              <w:pStyle w:val="Compact"/>
              <w:jc w:val="left"/>
            </w:pPr>
            <w:r>
              <w:rPr>
                <w:lang w:val="en"/>
              </w:rPr>
              <w:t xml:space="preserve">3.5</w:t>
            </w:r>
          </w:p>
        </w:tc>
      </w:tr>
      <w:tr>
        <w:tc>
          <w:tcPr/>
          <w:p>
            <w:pPr>
              <w:pStyle w:val="Compact"/>
              <w:jc w:val="left"/>
            </w:pPr>
            <w:r>
              <w:rPr>
                <w:lang w:val="en"/>
              </w:rPr>
              <w:t xml:space="preserve">Employment (persons)</w:t>
            </w:r>
          </w:p>
        </w:tc>
        <w:tc>
          <w:tcPr/>
          <w:p>
            <w:pPr>
              <w:pStyle w:val="Compact"/>
              <w:jc w:val="left"/>
            </w:pPr>
            <w:r>
              <w:rPr>
                <w:lang w:val="en"/>
              </w:rPr>
              <w:t xml:space="preserve">300,000</w:t>
            </w:r>
          </w:p>
        </w:tc>
        <w:tc>
          <w:tcPr/>
          <w:p>
            <w:pPr>
              <w:pStyle w:val="Compact"/>
              <w:jc w:val="left"/>
            </w:pPr>
            <w:r>
              <w:rPr>
                <w:lang w:val="en"/>
              </w:rPr>
              <w:t xml:space="preserve">10,000,000</w:t>
            </w:r>
          </w:p>
        </w:tc>
        <w:tc>
          <w:tcPr/>
          <w:p>
            <w:pPr>
              <w:pStyle w:val="Compact"/>
              <w:jc w:val="left"/>
            </w:pPr>
            <w:r>
              <w:rPr>
                <w:lang w:val="en"/>
              </w:rPr>
              <w:t xml:space="preserve">3.0</w:t>
            </w:r>
          </w:p>
        </w:tc>
      </w:tr>
      <w:tr>
        <w:tc>
          <w:tcPr/>
          <w:p>
            <w:pPr>
              <w:pStyle w:val="Compact"/>
              <w:jc w:val="left"/>
            </w:pPr>
            <w:r>
              <w:rPr>
                <w:lang w:val="en"/>
              </w:rPr>
              <w:t xml:space="preserve">GVA per person employed (USD)</w:t>
            </w:r>
          </w:p>
        </w:tc>
        <w:tc>
          <w:tcPr/>
          <w:p>
            <w:pPr>
              <w:pStyle w:val="Compact"/>
              <w:jc w:val="left"/>
            </w:pPr>
            <w:r>
              <w:rPr>
                <w:lang w:val="en"/>
              </w:rPr>
              <w:t xml:space="preserve">5,833</w:t>
            </w:r>
          </w:p>
        </w:tc>
        <w:tc>
          <w:tcPr/>
          <w:p>
            <w:pPr>
              <w:pStyle w:val="Compact"/>
              <w:jc w:val="left"/>
            </w:pPr>
            <w:r>
              <w:rPr>
                <w:lang w:val="en"/>
              </w:rPr>
              <w:t xml:space="preserve">5,000</w:t>
            </w:r>
          </w:p>
        </w:tc>
        <w:tc>
          <w:tcPr/>
          <w:p>
            <w:pPr>
              <w:pStyle w:val="Compact"/>
              <w:jc w:val="left"/>
            </w:pPr>
            <w:r>
              <w:rPr>
                <w:lang w:val="en"/>
              </w:rPr>
              <w:t xml:space="preserve">116.7</w:t>
            </w:r>
          </w:p>
        </w:tc>
      </w:tr>
      <w:tr>
        <w:tc>
          <w:tcPr/>
          <w:p>
            <w:pPr>
              <w:pStyle w:val="Compact"/>
              <w:jc w:val="left"/>
            </w:pPr>
            <w:r>
              <w:rPr>
                <w:lang w:val="en"/>
              </w:rPr>
              <w:t xml:space="preserve">Average compensation per employee (USD)</w:t>
            </w:r>
          </w:p>
        </w:tc>
        <w:tc>
          <w:tcPr/>
          <w:p>
            <w:pPr>
              <w:pStyle w:val="Compact"/>
              <w:jc w:val="left"/>
            </w:pPr>
            <w:r>
              <w:rPr>
                <w:lang w:val="en"/>
              </w:rPr>
              <w:t xml:space="preserve">3,208</w:t>
            </w:r>
          </w:p>
        </w:tc>
        <w:tc>
          <w:tcPr/>
          <w:p>
            <w:pPr>
              <w:pStyle w:val="Compact"/>
              <w:jc w:val="left"/>
            </w:pPr>
            <w:r>
              <w:rPr>
                <w:lang w:val="en"/>
              </w:rPr>
              <w:t xml:space="preserve">3,000</w:t>
            </w:r>
          </w:p>
        </w:tc>
        <w:tc>
          <w:tcPr/>
          <w:p>
            <w:pPr>
              <w:pStyle w:val="Compact"/>
              <w:jc w:val="left"/>
            </w:pPr>
            <w:r>
              <w:rPr>
                <w:lang w:val="en"/>
              </w:rPr>
              <w:t xml:space="preserve">106.9</w:t>
            </w:r>
          </w:p>
        </w:tc>
      </w:tr>
      <w:tr>
        <w:tc>
          <w:tcPr/>
          <w:p>
            <w:pPr>
              <w:pStyle w:val="Compact"/>
              <w:jc w:val="left"/>
            </w:pPr>
            <w:r>
              <w:rPr>
                <w:lang w:val="en"/>
              </w:rPr>
              <w:t xml:space="preserve">GFCF (million USD)</w:t>
            </w:r>
          </w:p>
        </w:tc>
        <w:tc>
          <w:tcPr/>
          <w:p>
            <w:pPr>
              <w:pStyle w:val="Compact"/>
              <w:jc w:val="left"/>
            </w:pPr>
            <w:r>
              <w:rPr>
                <w:lang w:val="en"/>
              </w:rPr>
              <w:t xml:space="preserve">380</w:t>
            </w:r>
          </w:p>
        </w:tc>
        <w:tc>
          <w:tcPr/>
          <w:p>
            <w:pPr>
              <w:pStyle w:val="Compact"/>
              <w:jc w:val="left"/>
            </w:pPr>
            <w:r>
              <w:rPr>
                <w:lang w:val="en"/>
              </w:rPr>
              <w:t xml:space="preserve">11,000</w:t>
            </w:r>
          </w:p>
        </w:tc>
        <w:tc>
          <w:tcPr/>
          <w:p>
            <w:pPr>
              <w:pStyle w:val="Compact"/>
              <w:jc w:val="left"/>
            </w:pPr>
            <w:r>
              <w:rPr>
                <w:lang w:val="en"/>
              </w:rPr>
              <w:t xml:space="preserve">3.5</w:t>
            </w:r>
          </w:p>
        </w:tc>
      </w:tr>
      <w:tr>
        <w:tc>
          <w:tcPr/>
          <w:p>
            <w:pPr>
              <w:pStyle w:val="Compact"/>
              <w:jc w:val="left"/>
            </w:pPr>
            <w:r>
              <w:rPr>
                <w:lang w:val="en"/>
              </w:rPr>
              <w:t xml:space="preserve">Exports (million USD)</w:t>
            </w:r>
          </w:p>
        </w:tc>
        <w:tc>
          <w:tcPr/>
          <w:p>
            <w:pPr>
              <w:pStyle w:val="Compact"/>
              <w:jc w:val="left"/>
            </w:pPr>
            <w:r>
              <w:rPr>
                <w:lang w:val="en"/>
              </w:rPr>
              <w:t xml:space="preserve">620</w:t>
            </w:r>
          </w:p>
        </w:tc>
        <w:tc>
          <w:tcPr/>
          <w:p>
            <w:pPr>
              <w:pStyle w:val="Compact"/>
              <w:jc w:val="left"/>
            </w:pPr>
            <w:r>
              <w:rPr>
                <w:lang w:val="en"/>
              </w:rPr>
              <w:t xml:space="preserve">12,000</w:t>
            </w:r>
          </w:p>
        </w:tc>
        <w:tc>
          <w:tcPr/>
          <w:p>
            <w:pPr>
              <w:pStyle w:val="Compact"/>
              <w:jc w:val="left"/>
            </w:pPr>
            <w:r>
              <w:rPr>
                <w:lang w:val="en"/>
              </w:rPr>
              <w:t xml:space="preserve">5.2</w:t>
            </w:r>
          </w:p>
        </w:tc>
      </w:tr>
    </w:tbl>
    <w:p>
      <w:pPr>
        <w:pStyle w:val="BodyText"/>
      </w:pPr>
      <w:r>
        <w:rPr>
          <w:lang w:val="en"/>
        </w:rPr>
        <w:t xml:space="preserve">¶10</w:t>
      </w:r>
      <w:r>
        <w:rPr>
          <w:lang w:val="en"/>
        </w:rPr>
        <w:t xml:space="preserve"> </w:t>
      </w:r>
      <w:r>
        <w:rPr>
          <w:lang w:val="en"/>
        </w:rPr>
        <w:t xml:space="preserve">The data in Table 3.1a reveal that whilst the ocean economy accounts for 3.5 per cent of national GVA, it accounts for only 3.0 per cent of employment, implying slightly above-average labour productivity. The ocean economy’s share of exports (5.2 per cent) exceeds its share of national GVA, indicating an outward orientation driven by fish product exports and maritime transport services.</w:t>
      </w:r>
    </w:p>
    <w:bookmarkStart w:id="91" w:name="budget-ready-summary"/>
    <w:p>
      <w:pPr>
        <w:pStyle w:val="Heading4"/>
      </w:pPr>
      <w:r>
        <w:rPr>
          <w:lang w:val="en"/>
        </w:rPr>
        <w:t xml:space="preserve">Budget-ready summary</w:t>
      </w:r>
    </w:p>
    <w:p>
      <w:pPr>
        <w:pStyle w:val="FirstParagraph"/>
      </w:pPr>
      <w:hyperlink w:anchor="budget-ready-summary">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“Budget-ready summary”</w:t>
        </w:r>
      </w:hyperlink>
    </w:p>
    <w:bookmarkEnd w:id="91"/>
    <w:p>
      <w:pPr>
        <w:pStyle w:val="BodyText"/>
      </w:pPr>
      <w:r>
        <w:rPr>
          <w:lang w:val="en"/>
        </w:rPr>
        <w:t xml:space="preserve">¶1</w:t>
      </w:r>
      <w:r>
        <w:rPr>
          <w:lang w:val="en"/>
        </w:rPr>
        <w:t xml:space="preserve"> </w:t>
      </w:r>
      <w:r>
        <w:rPr>
          <w:lang w:val="en"/>
        </w:rPr>
        <w:t xml:space="preserve">Table 3.1b maps the indicators derived from Tables 3.1 and 3.1a directly to the four-row budget presentation structure specified in</w:t>
      </w:r>
      <w:r>
        <w:rPr>
          <w:lang w:val="en"/>
        </w:rPr>
        <w:t xml:space="preserve"> </w:t>
      </w:r>
      <w:hyperlink r:id="rId33">
        <w:r>
          <w:rPr>
            <w:rStyle w:val="Hyperlink"/>
            <w:bCs/>
            <w:b/>
            <w:lang w:val="en"/>
          </w:rPr>
          <w:t xml:space="preserve">TG-1.1</w:t>
        </w:r>
      </w:hyperlink>
      <w:r>
        <w:rPr>
          <w:lang w:val="en"/>
        </w:rPr>
        <w:t xml:space="preserve"> </w:t>
      </w:r>
      <w:r>
        <w:rPr>
          <w:lang w:val="en"/>
        </w:rPr>
        <w:t xml:space="preserve">Section 3.3 (Table 1). This table provides the format in which ocean economy indicators should be presented in national budget submissions to demonstrate the sector’s contribution to the national economy.</w:t>
      </w:r>
    </w:p>
    <w:p>
      <w:pPr>
        <w:pStyle w:val="BodyText"/>
      </w:pPr>
      <w:r>
        <w:rPr>
          <w:lang w:val="en"/>
        </w:rPr>
        <w:t xml:space="preserve">¶2</w:t>
      </w:r>
      <w:r>
        <w:rPr>
          <w:lang w:val="en"/>
        </w:rPr>
        <w:t xml:space="preserve"> </w:t>
      </w:r>
      <w:r>
        <w:rPr>
          <w:bCs/>
          <w:b/>
          <w:lang w:val="en"/>
        </w:rPr>
        <w:t xml:space="preserve">Table 3.1b: Ocean economy contribution — budget presentation format (Country A,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Indicator</w:t>
            </w:r>
          </w:p>
        </w:tc>
        <w:tc>
          <w:tcPr/>
          <w:p>
            <w:pPr>
              <w:pStyle w:val="Compact"/>
              <w:jc w:val="left"/>
            </w:pPr>
            <w:r>
              <w:rPr>
                <w:lang w:val="en"/>
              </w:rPr>
              <w:t xml:space="preserve">Ocean economy</w:t>
            </w:r>
          </w:p>
        </w:tc>
        <w:tc>
          <w:tcPr/>
          <w:p>
            <w:pPr>
              <w:pStyle w:val="Compact"/>
              <w:jc w:val="left"/>
            </w:pPr>
            <w:r>
              <w:rPr>
                <w:lang w:val="en"/>
              </w:rPr>
              <w:t xml:space="preserve">National total</w:t>
            </w:r>
          </w:p>
        </w:tc>
        <w:tc>
          <w:tcPr/>
          <w:p>
            <w:pPr>
              <w:pStyle w:val="Compact"/>
              <w:jc w:val="left"/>
            </w:pPr>
            <w:r>
              <w:rPr>
                <w:lang w:val="en"/>
              </w:rPr>
              <w:t xml:space="preserve">Ocean share (%)</w:t>
            </w:r>
          </w:p>
        </w:tc>
      </w:tr>
      <w:tr>
        <w:tc>
          <w:tcPr/>
          <w:p>
            <w:pPr>
              <w:pStyle w:val="Compact"/>
              <w:jc w:val="left"/>
            </w:pPr>
            <w:r>
              <w:rPr>
                <w:lang w:val="en"/>
              </w:rPr>
              <w:t xml:space="preserve">GDP contribution, measured as GVA at basic prices (million USD)</w:t>
            </w:r>
          </w:p>
        </w:tc>
        <w:tc>
          <w:tcPr/>
          <w:p>
            <w:pPr>
              <w:pStyle w:val="Compact"/>
              <w:jc w:val="left"/>
            </w:pPr>
            <w:r>
              <w:rPr>
                <w:lang w:val="en"/>
              </w:rPr>
              <w:t xml:space="preserve">1,750</w:t>
            </w:r>
          </w:p>
        </w:tc>
        <w:tc>
          <w:tcPr/>
          <w:p>
            <w:pPr>
              <w:pStyle w:val="Compact"/>
              <w:jc w:val="left"/>
            </w:pPr>
            <w:r>
              <w:rPr>
                <w:lang w:val="en"/>
              </w:rPr>
              <w:t xml:space="preserve">50,000</w:t>
            </w:r>
          </w:p>
        </w:tc>
        <w:tc>
          <w:tcPr/>
          <w:p>
            <w:pPr>
              <w:pStyle w:val="Compact"/>
              <w:jc w:val="left"/>
            </w:pPr>
            <w:r>
              <w:rPr>
                <w:lang w:val="en"/>
              </w:rPr>
              <w:t xml:space="preserve">3.5</w:t>
            </w:r>
          </w:p>
        </w:tc>
      </w:tr>
      <w:tr>
        <w:tc>
          <w:tcPr/>
          <w:p>
            <w:pPr>
              <w:pStyle w:val="Compact"/>
              <w:jc w:val="left"/>
            </w:pPr>
            <w:r>
              <w:rPr>
                <w:lang w:val="en"/>
              </w:rPr>
              <w:t xml:space="preserve">Employment (thousand persons)</w:t>
            </w:r>
          </w:p>
        </w:tc>
        <w:tc>
          <w:tcPr/>
          <w:p>
            <w:pPr>
              <w:pStyle w:val="Compact"/>
              <w:jc w:val="left"/>
            </w:pPr>
            <w:r>
              <w:rPr>
                <w:lang w:val="en"/>
              </w:rPr>
              <w:t xml:space="preserve">300</w:t>
            </w:r>
          </w:p>
        </w:tc>
        <w:tc>
          <w:tcPr/>
          <w:p>
            <w:pPr>
              <w:pStyle w:val="Compact"/>
              <w:jc w:val="left"/>
            </w:pPr>
            <w:r>
              <w:rPr>
                <w:lang w:val="en"/>
              </w:rPr>
              <w:t xml:space="preserve">10,000</w:t>
            </w:r>
          </w:p>
        </w:tc>
        <w:tc>
          <w:tcPr/>
          <w:p>
            <w:pPr>
              <w:pStyle w:val="Compact"/>
              <w:jc w:val="left"/>
            </w:pPr>
            <w:r>
              <w:rPr>
                <w:lang w:val="en"/>
              </w:rPr>
              <w:t xml:space="preserve">3.0</w:t>
            </w:r>
          </w:p>
        </w:tc>
      </w:tr>
      <w:tr>
        <w:tc>
          <w:tcPr/>
          <w:p>
            <w:pPr>
              <w:pStyle w:val="Compact"/>
              <w:jc w:val="left"/>
            </w:pPr>
            <w:r>
              <w:rPr>
                <w:lang w:val="en"/>
              </w:rPr>
              <w:t xml:space="preserve">Exports (million USD)</w:t>
            </w:r>
          </w:p>
        </w:tc>
        <w:tc>
          <w:tcPr/>
          <w:p>
            <w:pPr>
              <w:pStyle w:val="Compact"/>
              <w:jc w:val="left"/>
            </w:pPr>
            <w:r>
              <w:rPr>
                <w:lang w:val="en"/>
              </w:rPr>
              <w:t xml:space="preserve">620</w:t>
            </w:r>
          </w:p>
        </w:tc>
        <w:tc>
          <w:tcPr/>
          <w:p>
            <w:pPr>
              <w:pStyle w:val="Compact"/>
              <w:jc w:val="left"/>
            </w:pPr>
            <w:r>
              <w:rPr>
                <w:lang w:val="en"/>
              </w:rPr>
              <w:t xml:space="preserve">12,000</w:t>
            </w:r>
          </w:p>
        </w:tc>
        <w:tc>
          <w:tcPr/>
          <w:p>
            <w:pPr>
              <w:pStyle w:val="Compact"/>
              <w:jc w:val="left"/>
            </w:pPr>
            <w:r>
              <w:rPr>
                <w:lang w:val="en"/>
              </w:rPr>
              <w:t xml:space="preserve">5.2</w:t>
            </w:r>
          </w:p>
        </w:tc>
      </w:tr>
      <w:tr>
        <w:tc>
          <w:tcPr/>
          <w:p>
            <w:pPr>
              <w:pStyle w:val="Compact"/>
              <w:jc w:val="left"/>
            </w:pPr>
            <w:r>
              <w:rPr>
                <w:lang w:val="en"/>
              </w:rPr>
              <w:t xml:space="preserve">Fish protein supply (thousand tonnes)</w:t>
            </w:r>
          </w:p>
        </w:tc>
        <w:tc>
          <w:tcPr/>
          <w:p>
            <w:pPr>
              <w:pStyle w:val="Compact"/>
              <w:jc w:val="left"/>
            </w:pPr>
            <w:r>
              <w:rPr>
                <w:lang w:val="en"/>
              </w:rPr>
              <w:t xml:space="preserve">285</w:t>
            </w:r>
          </w:p>
        </w:tc>
        <w:tc>
          <w:tcPr/>
          <w:p>
            <w:pPr>
              <w:pStyle w:val="Compact"/>
              <w:jc w:val="left"/>
            </w:pPr>
            <w:r>
              <w:rPr>
                <w:lang w:val="en"/>
              </w:rPr>
              <w:t xml:space="preserve">340</w:t>
            </w:r>
          </w:p>
        </w:tc>
        <w:tc>
          <w:tcPr/>
          <w:p>
            <w:pPr>
              <w:pStyle w:val="Compact"/>
              <w:jc w:val="left"/>
            </w:pPr>
            <w:r>
              <w:rPr>
                <w:lang w:val="en"/>
              </w:rPr>
              <w:t xml:space="preserve">83.8</w:t>
            </w:r>
          </w:p>
        </w:tc>
      </w:tr>
    </w:tbl>
    <w:bookmarkStart w:id="94" w:name="X5202b0dc78d7880094024fcb3be73e9e11f3205"/>
    <w:p>
      <w:pPr>
        <w:pStyle w:val="Heading3"/>
      </w:pPr>
      <w:r>
        <w:rPr>
          <w:lang w:val="en"/>
        </w:rPr>
        <w:t xml:space="preserve">3.3</w:t>
      </w:r>
      <w:r>
        <w:rPr>
          <w:lang w:val="en"/>
        </w:rPr>
        <w:t xml:space="preserve"> </w:t>
      </w:r>
      <w:r>
        <w:rPr>
          <w:lang w:val="en"/>
        </w:rPr>
        <w:t xml:space="preserve">Growth and Productivity Indicators</w:t>
      </w:r>
    </w:p>
    <w:p>
      <w:pPr>
        <w:pStyle w:val="FirstParagraph"/>
      </w:pPr>
      <w:hyperlink w:anchor="X5202b0dc78d7880094024fcb3be73e9e11f3205">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Growth and Productivity Indicators”</w:t>
        </w:r>
      </w:hyperlink>
    </w:p>
    <w:bookmarkEnd w:id="94"/>
    <w:p>
      <w:pPr>
        <w:pStyle w:val="BodyText"/>
      </w:pPr>
      <w:r>
        <w:rPr>
          <w:lang w:val="en"/>
        </w:rPr>
        <w:t xml:space="preserve">¶1</w:t>
      </w:r>
      <w:r>
        <w:rPr>
          <w:lang w:val="en"/>
        </w:rPr>
        <w:t xml:space="preserve"> </w:t>
      </w:r>
      <w:r>
        <w:rPr>
          <w:lang w:val="en"/>
        </w:rPr>
        <w:t xml:space="preserve">Growth and productivity indicators measure the dynamic performance of the ocean economy, revealing whether it is expanding or contracting, whether growth is generating productivity improvements, and how ocean economy performance compares to the broader economy.</w:t>
      </w:r>
    </w:p>
    <w:bookmarkStart w:id="97" w:name="growth-indicators"/>
    <w:p>
      <w:pPr>
        <w:pStyle w:val="Heading4"/>
      </w:pPr>
      <w:r>
        <w:rPr>
          <w:lang w:val="en"/>
        </w:rPr>
        <w:t xml:space="preserve">Growth indicators</w:t>
      </w:r>
    </w:p>
    <w:p>
      <w:pPr>
        <w:pStyle w:val="FirstParagraph"/>
      </w:pPr>
      <w:hyperlink w:anchor="growth-indicators">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“Growth indicators”</w:t>
        </w:r>
      </w:hyperlink>
    </w:p>
    <w:bookmarkEnd w:id="97"/>
    <w:p>
      <w:pPr>
        <w:pStyle w:val="BodyText"/>
      </w:pPr>
      <w:r>
        <w:rPr>
          <w:lang w:val="en"/>
        </w:rPr>
        <w:t xml:space="preserve">¶1</w:t>
      </w:r>
      <w:r>
        <w:rPr>
          <w:lang w:val="en"/>
        </w:rPr>
        <w:t xml:space="preserve"> </w:t>
      </w:r>
      <w:r>
        <w:rPr>
          <w:bCs/>
          <w:b/>
          <w:lang w:val="en"/>
        </w:rPr>
        <w:t xml:space="preserve">Nominal growth rate</w:t>
      </w:r>
      <w:r>
        <w:rPr>
          <w:lang w:val="en"/>
        </w:rPr>
        <w:t xml:space="preserve"> </w:t>
      </w:r>
      <m:oMathPara>
        <m:oMathParaPr>
          <m:jc m:val="center"/>
        </m:oMathParaPr>
        <m:oMath>
          <m:sSub>
            <m:e>
              <m:r>
                <m:rPr>
                  <m:nor/>
                  <m:sty m:val="p"/>
                </m:rPr>
                <m:t>Growth rate</m:t>
              </m:r>
            </m:e>
            <m:sub>
              <m:r>
                <m:t>t</m:t>
              </m:r>
            </m:sub>
          </m:sSub>
          <m:r>
            <m:rPr>
              <m:sty m:val="p"/>
            </m:rPr>
            <m:t>=</m:t>
          </m:r>
          <m:f>
            <m:fPr>
              <m:type m:val="bar"/>
            </m:fPr>
            <m:num>
              <m:sSub>
                <m:e>
                  <m:r>
                    <m:t>X</m:t>
                  </m:r>
                </m:e>
                <m:sub>
                  <m:r>
                    <m:t>t</m:t>
                  </m:r>
                </m:sub>
              </m:sSub>
              <m:r>
                <m:rPr>
                  <m:sty m:val="p"/>
                </m:rPr>
                <m:t>−</m:t>
              </m:r>
              <m:sSub>
                <m:e>
                  <m:r>
                    <m:t>X</m:t>
                  </m:r>
                </m:e>
                <m:sub>
                  <m:r>
                    <m:t>t</m:t>
                  </m:r>
                  <m:r>
                    <m:rPr>
                      <m:sty m:val="p"/>
                    </m:rPr>
                    <m:t>−</m:t>
                  </m:r>
                  <m:r>
                    <m:t>1</m:t>
                  </m:r>
                </m:sub>
              </m:sSub>
            </m:num>
            <m:den>
              <m:sSub>
                <m:e>
                  <m:r>
                    <m:t>X</m:t>
                  </m:r>
                </m:e>
                <m:sub>
                  <m:r>
                    <m:t>t</m:t>
                  </m:r>
                  <m:r>
                    <m:rPr>
                      <m:sty m:val="p"/>
                    </m:rPr>
                    <m:t>−</m:t>
                  </m:r>
                  <m:r>
                    <m:t>1</m:t>
                  </m:r>
                </m:sub>
              </m:sSub>
            </m:den>
          </m:f>
          <m:r>
            <m:rPr>
              <m:sty m:val="p"/>
            </m:rPr>
            <m:t>×</m:t>
          </m:r>
          <m:r>
            <m:t>100</m:t>
          </m:r>
        </m:oMath>
      </m:oMathPara>
      <w:r>
        <w:rPr>
          <w:lang w:val="en"/>
        </w:rPr>
        <w:t xml:space="preserve">Growth rate</w:t>
      </w:r>
      <w:r>
        <w:rPr>
          <w:lang w:val="en"/>
        </w:rPr>
        <w:t xml:space="preserve">t</w:t>
      </w:r>
      <w:r>
        <w:rPr>
          <w:lang w:val="en"/>
        </w:rPr>
        <w:t xml:space="preserve">​</w:t>
      </w:r>
      <w:r>
        <w:rPr>
          <w:lang w:val="en"/>
        </w:rPr>
        <w:t xml:space="preserve">=</w:t>
      </w:r>
      <w:r>
        <w:rPr>
          <w:lang w:val="en"/>
        </w:rPr>
        <w:t xml:space="preserve">X</w:t>
      </w:r>
      <w:r>
        <w:rPr>
          <w:lang w:val="en"/>
        </w:rPr>
        <w:t xml:space="preserve">t</w:t>
      </w:r>
      <w:r>
        <w:rPr>
          <w:lang w:val="en"/>
        </w:rPr>
        <w:t xml:space="preserve">−</w:t>
      </w:r>
      <w:r>
        <w:rPr>
          <w:lang w:val="en"/>
        </w:rPr>
        <w:t xml:space="preserve">1</w:t>
      </w:r>
      <w:r>
        <w:rPr>
          <w:lang w:val="en"/>
        </w:rPr>
        <w:t xml:space="preserve">​</w:t>
      </w:r>
      <w:r>
        <w:rPr>
          <w:lang w:val="en"/>
        </w:rPr>
        <w:t xml:space="preserve">X</w:t>
      </w:r>
      <w:r>
        <w:rPr>
          <w:lang w:val="en"/>
        </w:rPr>
        <w:t xml:space="preserve">t</w:t>
      </w:r>
      <w:r>
        <w:rPr>
          <w:lang w:val="en"/>
        </w:rPr>
        <w:t xml:space="preserve">​</w:t>
      </w:r>
      <w:r>
        <w:rPr>
          <w:lang w:val="en"/>
        </w:rPr>
        <w:t xml:space="preserve">−</w:t>
      </w:r>
      <w:r>
        <w:rPr>
          <w:lang w:val="en"/>
        </w:rPr>
        <w:t xml:space="preserve">X</w:t>
      </w:r>
      <w:r>
        <w:rPr>
          <w:lang w:val="en"/>
        </w:rPr>
        <w:t xml:space="preserve">t</w:t>
      </w:r>
      <w:r>
        <w:rPr>
          <w:lang w:val="en"/>
        </w:rPr>
        <w:t xml:space="preserve">−</w:t>
      </w:r>
      <w:r>
        <w:rPr>
          <w:lang w:val="en"/>
        </w:rPr>
        <w:t xml:space="preserve">1</w:t>
      </w:r>
      <w:r>
        <w:rPr>
          <w:lang w:val="en"/>
        </w:rPr>
        <w:t xml:space="preserve">​</w:t>
      </w:r>
      <w:r>
        <w:rPr>
          <w:lang w:val="en"/>
        </w:rPr>
        <w:t xml:space="preserve">​</w:t>
      </w:r>
      <w:r>
        <w:rPr>
          <w:lang w:val="en"/>
        </w:rPr>
        <w:t xml:space="preserve">×</w:t>
      </w:r>
      <w:r>
        <w:rPr>
          <w:lang w:val="en"/>
        </w:rPr>
        <w:t xml:space="preserve">100</w:t>
      </w:r>
    </w:p>
    <w:p>
      <w:pPr>
        <w:pStyle w:val="FirstParagraph"/>
      </w:pPr>
      <w:r>
        <w:rPr>
          <w:lang w:val="en"/>
        </w:rPr>
        <w:t xml:space="preserve">¶2</w:t>
      </w:r>
      <w:r>
        <w:rPr>
          <w:lang w:val="en"/>
        </w:rPr>
        <w:t xml:space="preserve"> </w:t>
      </w:r>
      <w:r>
        <w:rPr>
          <w:lang w:val="en"/>
        </w:rPr>
        <w:t xml:space="preserve">where</w:t>
      </w:r>
      <w:r>
        <w:rPr>
          <w:lang w:val="en"/>
        </w:rPr>
        <w:t xml:space="preserve"> </w:t>
      </w:r>
      <m:oMath>
        <m:r>
          <m:t>X</m:t>
        </m:r>
      </m:oMath>
      <w:r>
        <w:rPr>
          <w:lang w:val="en"/>
        </w:rPr>
        <w:t xml:space="preserve">X</w:t>
      </w:r>
      <w:r>
        <w:rPr>
          <w:lang w:val="en"/>
        </w:rPr>
        <w:t xml:space="preserve"> </w:t>
      </w:r>
      <w:r>
        <w:rPr>
          <w:lang w:val="en"/>
        </w:rPr>
        <w:t xml:space="preserve">is the variable of interest (output, GVA, employment) and</w:t>
      </w:r>
      <w:r>
        <w:rPr>
          <w:lang w:val="en"/>
        </w:rPr>
        <w:t xml:space="preserve"> </w:t>
      </w:r>
      <m:oMath>
        <m:r>
          <m:t>t</m:t>
        </m:r>
      </m:oMath>
      <w:r>
        <w:rPr>
          <w:lang w:val="en"/>
        </w:rPr>
        <w:t xml:space="preserve">t</w:t>
      </w:r>
      <w:r>
        <w:rPr>
          <w:lang w:val="en"/>
        </w:rPr>
        <w:t xml:space="preserve"> </w:t>
      </w:r>
      <w:r>
        <w:rPr>
          <w:lang w:val="en"/>
        </w:rPr>
        <w:t xml:space="preserve">is the reference period.</w:t>
      </w:r>
    </w:p>
    <w:p>
      <w:pPr>
        <w:pStyle w:val="BodyText"/>
      </w:pPr>
      <w:r>
        <w:rPr>
          <w:lang w:val="en"/>
        </w:rPr>
        <w:t xml:space="preserve">¶3</w:t>
      </w:r>
      <w:r>
        <w:rPr>
          <w:lang w:val="en"/>
        </w:rPr>
        <w:t xml:space="preserve"> </w:t>
      </w:r>
      <w:r>
        <w:rPr>
          <w:bCs/>
          <w:b/>
          <w:lang w:val="en"/>
        </w:rPr>
        <w:t xml:space="preserve">Real growth rate</w:t>
      </w:r>
      <w:r>
        <w:rPr>
          <w:lang w:val="en"/>
        </w:rPr>
        <w:t xml:space="preserve"> </w:t>
      </w:r>
      <w:r>
        <w:rPr>
          <w:lang w:val="en"/>
        </w:rPr>
        <w:t xml:space="preserve">— adjusts for price changes using appropriate deflators</w:t>
      </w:r>
      <w:hyperlink w:anchor="user-content-fn-12">
        <w:r>
          <w:rPr>
            <w:rStyle w:val="Hyperlink"/>
            <w:vertAlign w:val="superscript"/>
            <w:lang w:val="en"/>
          </w:rPr>
          <w:t xml:space="preserve">12</w:t>
        </w:r>
      </w:hyperlink>
      <w:r>
        <w:rPr>
          <w:lang w:val="en"/>
        </w:rPr>
        <w:t xml:space="preserve">:</w:t>
      </w:r>
      <w:r>
        <w:rPr>
          <w:lang w:val="en"/>
        </w:rPr>
        <w:t xml:space="preserve"> </w:t>
      </w:r>
      <m:oMathPara>
        <m:oMathParaPr>
          <m:jc m:val="center"/>
        </m:oMathParaPr>
        <m:oMath>
          <m:sSub>
            <m:e>
              <m:r>
                <m:rPr>
                  <m:nor/>
                  <m:sty m:val="p"/>
                </m:rPr>
                <m:t>Real growth rate</m:t>
              </m:r>
            </m:e>
            <m:sub>
              <m:r>
                <m:t>t</m:t>
              </m:r>
            </m:sub>
          </m:sSub>
          <m:r>
            <m:rPr>
              <m:sty m:val="p"/>
            </m:rPr>
            <m:t>=</m:t>
          </m:r>
          <m:f>
            <m:fPr>
              <m:type m:val="bar"/>
            </m:fPr>
            <m:num>
              <m:sSub>
                <m:e>
                  <m:r>
                    <m:t>X</m:t>
                  </m:r>
                </m:e>
                <m:sub>
                  <m:r>
                    <m:t>t</m:t>
                  </m:r>
                </m:sub>
              </m:sSub>
              <m:r>
                <m:rPr>
                  <m:sty m:val="p"/>
                </m:rPr>
                <m:t>/</m:t>
              </m:r>
              <m:sSub>
                <m:e>
                  <m:r>
                    <m:t>P</m:t>
                  </m:r>
                </m:e>
                <m:sub>
                  <m:r>
                    <m:t>t</m:t>
                  </m:r>
                </m:sub>
              </m:sSub>
              <m:r>
                <m:rPr>
                  <m:sty m:val="p"/>
                </m:rPr>
                <m:t>−</m:t>
              </m:r>
              <m:sSub>
                <m:e>
                  <m:r>
                    <m:t>X</m:t>
                  </m:r>
                </m:e>
                <m:sub>
                  <m:r>
                    <m:t>t</m:t>
                  </m:r>
                  <m:r>
                    <m:rPr>
                      <m:sty m:val="p"/>
                    </m:rPr>
                    <m:t>−</m:t>
                  </m:r>
                  <m:r>
                    <m:t>1</m:t>
                  </m:r>
                </m:sub>
              </m:sSub>
              <m:r>
                <m:rPr>
                  <m:sty m:val="p"/>
                </m:rPr>
                <m:t>/</m:t>
              </m:r>
              <m:sSub>
                <m:e>
                  <m:r>
                    <m:t>P</m:t>
                  </m:r>
                </m:e>
                <m:sub>
                  <m:r>
                    <m:t>t</m:t>
                  </m:r>
                  <m:r>
                    <m:rPr>
                      <m:sty m:val="p"/>
                    </m:rPr>
                    <m:t>−</m:t>
                  </m:r>
                  <m:r>
                    <m:t>1</m:t>
                  </m:r>
                </m:sub>
              </m:sSub>
            </m:num>
            <m:den>
              <m:sSub>
                <m:e>
                  <m:r>
                    <m:t>X</m:t>
                  </m:r>
                </m:e>
                <m:sub>
                  <m:r>
                    <m:t>t</m:t>
                  </m:r>
                  <m:r>
                    <m:rPr>
                      <m:sty m:val="p"/>
                    </m:rPr>
                    <m:t>−</m:t>
                  </m:r>
                  <m:r>
                    <m:t>1</m:t>
                  </m:r>
                </m:sub>
              </m:sSub>
              <m:r>
                <m:rPr>
                  <m:sty m:val="p"/>
                </m:rPr>
                <m:t>/</m:t>
              </m:r>
              <m:sSub>
                <m:e>
                  <m:r>
                    <m:t>P</m:t>
                  </m:r>
                </m:e>
                <m:sub>
                  <m:r>
                    <m:t>t</m:t>
                  </m:r>
                  <m:r>
                    <m:rPr>
                      <m:sty m:val="p"/>
                    </m:rPr>
                    <m:t>−</m:t>
                  </m:r>
                  <m:r>
                    <m:t>1</m:t>
                  </m:r>
                </m:sub>
              </m:sSub>
            </m:den>
          </m:f>
          <m:r>
            <m:rPr>
              <m:sty m:val="p"/>
            </m:rPr>
            <m:t>×</m:t>
          </m:r>
          <m:r>
            <m:t>100</m:t>
          </m:r>
        </m:oMath>
      </m:oMathPara>
      <w:r>
        <w:rPr>
          <w:lang w:val="en"/>
        </w:rPr>
        <w:t xml:space="preserve">Real growth rate</w:t>
      </w:r>
      <w:r>
        <w:rPr>
          <w:lang w:val="en"/>
        </w:rPr>
        <w:t xml:space="preserve">t</w:t>
      </w:r>
      <w:r>
        <w:rPr>
          <w:lang w:val="en"/>
        </w:rPr>
        <w:t xml:space="preserve">​</w:t>
      </w:r>
      <w:r>
        <w:rPr>
          <w:lang w:val="en"/>
        </w:rPr>
        <w:t xml:space="preserve">=</w:t>
      </w:r>
      <w:r>
        <w:rPr>
          <w:lang w:val="en"/>
        </w:rPr>
        <w:t xml:space="preserve">X</w:t>
      </w:r>
      <w:r>
        <w:rPr>
          <w:lang w:val="en"/>
        </w:rPr>
        <w:t xml:space="preserve">t</w:t>
      </w:r>
      <w:r>
        <w:rPr>
          <w:lang w:val="en"/>
        </w:rPr>
        <w:t xml:space="preserve">−</w:t>
      </w:r>
      <w:r>
        <w:rPr>
          <w:lang w:val="en"/>
        </w:rPr>
        <w:t xml:space="preserve">1</w:t>
      </w:r>
      <w:r>
        <w:rPr>
          <w:lang w:val="en"/>
        </w:rPr>
        <w:t xml:space="preserve">​</w:t>
      </w:r>
      <w:r>
        <w:rPr>
          <w:lang w:val="en"/>
        </w:rPr>
        <w:t xml:space="preserve">/</w:t>
      </w:r>
      <w:r>
        <w:rPr>
          <w:lang w:val="en"/>
        </w:rPr>
        <w:t xml:space="preserve">P</w:t>
      </w:r>
      <w:r>
        <w:rPr>
          <w:lang w:val="en"/>
        </w:rPr>
        <w:t xml:space="preserve">t</w:t>
      </w:r>
      <w:r>
        <w:rPr>
          <w:lang w:val="en"/>
        </w:rPr>
        <w:t xml:space="preserve">−</w:t>
      </w:r>
      <w:r>
        <w:rPr>
          <w:lang w:val="en"/>
        </w:rPr>
        <w:t xml:space="preserve">1</w:t>
      </w:r>
      <w:r>
        <w:rPr>
          <w:lang w:val="en"/>
        </w:rPr>
        <w:t xml:space="preserve">​</w:t>
      </w:r>
      <w:r>
        <w:rPr>
          <w:lang w:val="en"/>
        </w:rPr>
        <w:t xml:space="preserve">X</w:t>
      </w:r>
      <w:r>
        <w:rPr>
          <w:lang w:val="en"/>
        </w:rPr>
        <w:t xml:space="preserve">t</w:t>
      </w:r>
      <w:r>
        <w:rPr>
          <w:lang w:val="en"/>
        </w:rPr>
        <w:t xml:space="preserve">​</w:t>
      </w:r>
      <w:r>
        <w:rPr>
          <w:lang w:val="en"/>
        </w:rPr>
        <w:t xml:space="preserve">/</w:t>
      </w:r>
      <w:r>
        <w:rPr>
          <w:lang w:val="en"/>
        </w:rPr>
        <w:t xml:space="preserve">P</w:t>
      </w:r>
      <w:r>
        <w:rPr>
          <w:lang w:val="en"/>
        </w:rPr>
        <w:t xml:space="preserve">t</w:t>
      </w:r>
      <w:r>
        <w:rPr>
          <w:lang w:val="en"/>
        </w:rPr>
        <w:t xml:space="preserve">​</w:t>
      </w:r>
      <w:r>
        <w:rPr>
          <w:lang w:val="en"/>
        </w:rPr>
        <w:t xml:space="preserve">−</w:t>
      </w:r>
      <w:r>
        <w:rPr>
          <w:lang w:val="en"/>
        </w:rPr>
        <w:t xml:space="preserve">X</w:t>
      </w:r>
      <w:r>
        <w:rPr>
          <w:lang w:val="en"/>
        </w:rPr>
        <w:t xml:space="preserve">t</w:t>
      </w:r>
      <w:r>
        <w:rPr>
          <w:lang w:val="en"/>
        </w:rPr>
        <w:t xml:space="preserve">−</w:t>
      </w:r>
      <w:r>
        <w:rPr>
          <w:lang w:val="en"/>
        </w:rPr>
        <w:t xml:space="preserve">1</w:t>
      </w:r>
      <w:r>
        <w:rPr>
          <w:lang w:val="en"/>
        </w:rPr>
        <w:t xml:space="preserve">​</w:t>
      </w:r>
      <w:r>
        <w:rPr>
          <w:lang w:val="en"/>
        </w:rPr>
        <w:t xml:space="preserve">/</w:t>
      </w:r>
      <w:r>
        <w:rPr>
          <w:lang w:val="en"/>
        </w:rPr>
        <w:t xml:space="preserve">P</w:t>
      </w:r>
      <w:r>
        <w:rPr>
          <w:lang w:val="en"/>
        </w:rPr>
        <w:t xml:space="preserve">t</w:t>
      </w:r>
      <w:r>
        <w:rPr>
          <w:lang w:val="en"/>
        </w:rPr>
        <w:t xml:space="preserve">−</w:t>
      </w:r>
      <w:r>
        <w:rPr>
          <w:lang w:val="en"/>
        </w:rPr>
        <w:t xml:space="preserve">1</w:t>
      </w:r>
      <w:r>
        <w:rPr>
          <w:lang w:val="en"/>
        </w:rPr>
        <w:t xml:space="preserve">​</w:t>
      </w:r>
      <w:r>
        <w:rPr>
          <w:lang w:val="en"/>
        </w:rPr>
        <w:t xml:space="preserve">​</w:t>
      </w:r>
      <w:r>
        <w:rPr>
          <w:lang w:val="en"/>
        </w:rPr>
        <w:t xml:space="preserve">×</w:t>
      </w:r>
      <w:r>
        <w:rPr>
          <w:lang w:val="en"/>
        </w:rPr>
        <w:t xml:space="preserve">100</w:t>
      </w:r>
    </w:p>
    <w:p>
      <w:pPr>
        <w:pStyle w:val="FirstParagraph"/>
      </w:pPr>
      <w:r>
        <w:rPr>
          <w:lang w:val="en"/>
        </w:rPr>
        <w:t xml:space="preserve">¶4</w:t>
      </w:r>
      <w:r>
        <w:rPr>
          <w:lang w:val="en"/>
        </w:rPr>
        <w:t xml:space="preserve"> </w:t>
      </w:r>
      <w:r>
        <w:rPr>
          <w:lang w:val="en"/>
        </w:rPr>
        <w:t xml:space="preserve">where</w:t>
      </w:r>
      <w:r>
        <w:rPr>
          <w:lang w:val="en"/>
        </w:rPr>
        <w:t xml:space="preserve"> </w:t>
      </w:r>
      <m:oMath>
        <m:r>
          <m:t>P</m:t>
        </m:r>
      </m:oMath>
      <w:r>
        <w:rPr>
          <w:lang w:val="en"/>
        </w:rPr>
        <w:t xml:space="preserve">P</w:t>
      </w:r>
      <w:r>
        <w:rPr>
          <w:lang w:val="en"/>
        </w:rPr>
        <w:t xml:space="preserve"> </w:t>
      </w:r>
      <w:r>
        <w:rPr>
          <w:lang w:val="en"/>
        </w:rPr>
        <w:t xml:space="preserve">is the relevant price index. The choice of deflator is important for ocean economy aggregates because price movements in ocean industries can diverge substantially from economy-wide trends. Offshore energy output, for example, is strongly influenced by international oil and gas price indices, whilst maritime transport output responds to freight rate indices such as the Baltic Exchange indices. Compilers should use industry-specific deflators where available rather than applying the aggregate GDP deflator to all ocean industries. Where sector-specific deflators are unavailable, compilers should document the deflator used and assess the potential bias introduced. Methodological guidance on deflation and volume measurement is provided in SNA 2025 Chapter 18, and further context on the statistical standards governing price and volume measures is available in</w:t>
      </w:r>
      <w:r>
        <w:rPr>
          <w:lang w:val="en"/>
        </w:rPr>
        <w:t xml:space="preserve"> </w:t>
      </w:r>
      <w:hyperlink r:id="rId39">
        <w:r>
          <w:rPr>
            <w:rStyle w:val="Hyperlink"/>
            <w:bCs/>
            <w:b/>
            <w:lang w:val="en"/>
          </w:rPr>
          <w:t xml:space="preserve">TG-0.2 Overview of Relevant Statistical Standards</w:t>
        </w:r>
      </w:hyperlink>
      <w:r>
        <w:rPr>
          <w:lang w:val="en"/>
        </w:rPr>
        <w:t xml:space="preserve">.</w:t>
      </w:r>
    </w:p>
    <w:p>
      <w:pPr>
        <w:pStyle w:val="BodyText"/>
      </w:pPr>
      <w:r>
        <w:rPr>
          <w:lang w:val="en"/>
        </w:rPr>
        <w:t xml:space="preserve">¶5</w:t>
      </w:r>
      <w:r>
        <w:rPr>
          <w:lang w:val="en"/>
        </w:rPr>
        <w:t xml:space="preserve"> </w:t>
      </w:r>
      <w:r>
        <w:rPr>
          <w:bCs/>
          <w:b/>
          <w:lang w:val="en"/>
        </w:rPr>
        <w:t xml:space="preserve">Compound annual growth rate (CAGR)</w:t>
      </w:r>
      <w:r>
        <w:rPr>
          <w:lang w:val="en"/>
        </w:rPr>
        <w:t xml:space="preserve"> </w:t>
      </w:r>
      <w:r>
        <w:rPr>
          <w:lang w:val="en"/>
        </w:rPr>
        <w:t xml:space="preserve">— measures average annual growth over multiple periods:</w:t>
      </w:r>
      <w:r>
        <w:rPr>
          <w:lang w:val="en"/>
        </w:rPr>
        <w:t xml:space="preserve"> </w:t>
      </w:r>
      <m:oMathPara>
        <m:oMathParaPr>
          <m:jc m:val="center"/>
        </m:oMathParaPr>
        <m:oMath>
          <m:r>
            <m:rPr>
              <m:nor/>
              <m:sty m:val="p"/>
            </m:rPr>
            <m:t>CAGR</m:t>
          </m:r>
          <m:r>
            <m:rPr>
              <m:sty m:val="p"/>
            </m:rPr>
            <m:t>=</m:t>
          </m:r>
          <m:sSup>
            <m:e>
              <m:d>
                <m:dPr>
                  <m:begChr m:val="("/>
                  <m:endChr m:val=")"/>
                  <m:sepChr m:val=""/>
                  <m:grow/>
                </m:dPr>
                <m:e>
                  <m:f>
                    <m:fPr>
                      <m:type m:val="bar"/>
                    </m:fPr>
                    <m:num>
                      <m:sSub>
                        <m:e>
                          <m:r>
                            <m:t>X</m:t>
                          </m:r>
                        </m:e>
                        <m:sub>
                          <m:r>
                            <m:t>T</m:t>
                          </m:r>
                        </m:sub>
                      </m:sSub>
                    </m:num>
                    <m:den>
                      <m:sSub>
                        <m:e>
                          <m:r>
                            <m:t>X</m:t>
                          </m:r>
                        </m:e>
                        <m:sub>
                          <m:r>
                            <m:t>0</m:t>
                          </m:r>
                        </m:sub>
                      </m:sSub>
                    </m:den>
                  </m:f>
                </m:e>
              </m:d>
            </m:e>
            <m:sup>
              <m:r>
                <m:t>1</m:t>
              </m:r>
              <m:r>
                <m:rPr>
                  <m:sty m:val="p"/>
                </m:rPr>
                <m:t>/</m:t>
              </m:r>
              <m:r>
                <m:t>T</m:t>
              </m:r>
            </m:sup>
          </m:sSup>
          <m:r>
            <m:rPr>
              <m:sty m:val="p"/>
            </m:rPr>
            <m:t>−</m:t>
          </m:r>
          <m:r>
            <m:t>1</m:t>
          </m:r>
        </m:oMath>
      </m:oMathPara>
      <w:r>
        <w:rPr>
          <w:lang w:val="en"/>
        </w:rPr>
        <w:t xml:space="preserve">CAGR</w:t>
      </w:r>
      <w:r>
        <w:rPr>
          <w:lang w:val="en"/>
        </w:rPr>
        <w:t xml:space="preserve">=</w:t>
      </w:r>
      <w:r>
        <w:rPr>
          <w:lang w:val="en"/>
        </w:rPr>
        <w:t xml:space="preserve">(</w:t>
      </w:r>
      <w:r>
        <w:rPr>
          <w:lang w:val="en"/>
        </w:rPr>
        <w:t xml:space="preserve">X</w:t>
      </w:r>
      <w:r>
        <w:rPr>
          <w:lang w:val="en"/>
        </w:rPr>
        <w:t xml:space="preserve">0</w:t>
      </w:r>
      <w:r>
        <w:rPr>
          <w:lang w:val="en"/>
        </w:rPr>
        <w:t xml:space="preserve">​</w:t>
      </w:r>
      <w:r>
        <w:rPr>
          <w:lang w:val="en"/>
        </w:rPr>
        <w:t xml:space="preserve">X</w:t>
      </w:r>
      <w:r>
        <w:rPr>
          <w:lang w:val="en"/>
        </w:rPr>
        <w:t xml:space="preserve">T</w:t>
      </w:r>
      <w:r>
        <w:rPr>
          <w:lang w:val="en"/>
        </w:rPr>
        <w:t xml:space="preserve">​</w:t>
      </w:r>
      <w:r>
        <w:rPr>
          <w:lang w:val="en"/>
        </w:rPr>
        <w:t xml:space="preserve">​</w:t>
      </w:r>
      <w:r>
        <w:rPr>
          <w:lang w:val="en"/>
        </w:rPr>
        <w:t xml:space="preserve">)</w:t>
      </w:r>
      <w:r>
        <w:rPr>
          <w:lang w:val="en"/>
        </w:rPr>
        <w:t xml:space="preserve">1/</w:t>
      </w:r>
      <w:r>
        <w:rPr>
          <w:lang w:val="en"/>
        </w:rPr>
        <w:t xml:space="preserve">T</w:t>
      </w:r>
      <w:r>
        <w:rPr>
          <w:lang w:val="en"/>
        </w:rPr>
        <w:t xml:space="preserve">−</w:t>
      </w:r>
      <w:r>
        <w:rPr>
          <w:lang w:val="en"/>
        </w:rPr>
        <w:t xml:space="preserve">1</w:t>
      </w:r>
    </w:p>
    <w:p>
      <w:pPr>
        <w:pStyle w:val="FirstParagraph"/>
      </w:pPr>
      <w:r>
        <w:rPr>
          <w:lang w:val="en"/>
        </w:rPr>
        <w:t xml:space="preserve">¶6</w:t>
      </w:r>
      <w:r>
        <w:rPr>
          <w:lang w:val="en"/>
        </w:rPr>
        <w:t xml:space="preserve"> </w:t>
      </w:r>
      <w:r>
        <w:rPr>
          <w:lang w:val="en"/>
        </w:rPr>
        <w:t xml:space="preserve">where</w:t>
      </w:r>
      <w:r>
        <w:rPr>
          <w:lang w:val="en"/>
        </w:rPr>
        <w:t xml:space="preserve"> </w:t>
      </w:r>
      <m:oMath>
        <m:sSub>
          <m:e>
            <m:r>
              <m:t>X</m:t>
            </m:r>
          </m:e>
          <m:sub>
            <m:r>
              <m:t>0</m:t>
            </m:r>
          </m:sub>
        </m:sSub>
      </m:oMath>
      <w:r>
        <w:rPr>
          <w:lang w:val="en"/>
        </w:rPr>
        <w:t xml:space="preserve">X</w:t>
      </w:r>
      <w:r>
        <w:rPr>
          <w:lang w:val="en"/>
        </w:rPr>
        <w:t xml:space="preserve">0</w:t>
      </w:r>
      <w:r>
        <w:rPr>
          <w:lang w:val="en"/>
        </w:rPr>
        <w:t xml:space="preserve">​</w:t>
      </w:r>
      <w:r>
        <w:rPr>
          <w:lang w:val="en"/>
        </w:rPr>
        <w:t xml:space="preserve"> </w:t>
      </w:r>
      <w:r>
        <w:rPr>
          <w:lang w:val="en"/>
        </w:rPr>
        <w:t xml:space="preserve">is the value at the beginning of the period,</w:t>
      </w:r>
      <w:r>
        <w:rPr>
          <w:lang w:val="en"/>
        </w:rPr>
        <w:t xml:space="preserve"> </w:t>
      </w:r>
      <m:oMath>
        <m:sSub>
          <m:e>
            <m:r>
              <m:t>X</m:t>
            </m:r>
          </m:e>
          <m:sub>
            <m:r>
              <m:t>T</m:t>
            </m:r>
          </m:sub>
        </m:sSub>
      </m:oMath>
      <w:r>
        <w:rPr>
          <w:lang w:val="en"/>
        </w:rPr>
        <w:t xml:space="preserve">X</w:t>
      </w:r>
      <w:r>
        <w:rPr>
          <w:lang w:val="en"/>
        </w:rPr>
        <w:t xml:space="preserve">T</w:t>
      </w:r>
      <w:r>
        <w:rPr>
          <w:lang w:val="en"/>
        </w:rPr>
        <w:t xml:space="preserve">​</w:t>
      </w:r>
      <w:r>
        <w:rPr>
          <w:lang w:val="en"/>
        </w:rPr>
        <w:t xml:space="preserve"> </w:t>
      </w:r>
      <w:r>
        <w:rPr>
          <w:lang w:val="en"/>
        </w:rPr>
        <w:t xml:space="preserve">is the value at the end, and</w:t>
      </w:r>
      <w:r>
        <w:rPr>
          <w:lang w:val="en"/>
        </w:rPr>
        <w:t xml:space="preserve"> </w:t>
      </w:r>
      <m:oMath>
        <m:r>
          <m:t>T</m:t>
        </m:r>
      </m:oMath>
      <w:r>
        <w:rPr>
          <w:lang w:val="en"/>
        </w:rPr>
        <w:t xml:space="preserve">T</w:t>
      </w:r>
      <w:r>
        <w:rPr>
          <w:lang w:val="en"/>
        </w:rPr>
        <w:t xml:space="preserve"> </w:t>
      </w:r>
      <w:r>
        <w:rPr>
          <w:lang w:val="en"/>
        </w:rPr>
        <w:t xml:space="preserve">is the number of years between them.</w:t>
      </w:r>
    </w:p>
    <w:bookmarkStart w:id="100" w:name="productivity-indicators"/>
    <w:p>
      <w:pPr>
        <w:pStyle w:val="Heading4"/>
      </w:pPr>
      <w:r>
        <w:rPr>
          <w:lang w:val="en"/>
        </w:rPr>
        <w:t xml:space="preserve">Productivity indicators</w:t>
      </w:r>
    </w:p>
    <w:p>
      <w:pPr>
        <w:pStyle w:val="FirstParagraph"/>
      </w:pPr>
      <w:hyperlink w:anchor="productivity-indicators">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“Productivity indicators”</w:t>
        </w:r>
      </w:hyperlink>
    </w:p>
    <w:bookmarkEnd w:id="100"/>
    <w:p>
      <w:pPr>
        <w:pStyle w:val="BodyText"/>
      </w:pPr>
      <w:r>
        <w:rPr>
          <w:lang w:val="en"/>
        </w:rPr>
        <w:t xml:space="preserve">¶1</w:t>
      </w:r>
      <w:r>
        <w:rPr>
          <w:lang w:val="en"/>
        </w:rPr>
        <w:t xml:space="preserve"> </w:t>
      </w:r>
      <w:r>
        <w:rPr>
          <w:lang w:val="en"/>
        </w:rPr>
        <w:t xml:space="preserve">Productivity measures the efficiency with which inputs are transformed into outputs. Two measures are particularly relevant for ocean economy analysis</w:t>
      </w:r>
      <w:hyperlink w:anchor="user-content-fn-13">
        <w:r>
          <w:rPr>
            <w:rStyle w:val="Hyperlink"/>
            <w:vertAlign w:val="superscript"/>
            <w:lang w:val="en"/>
          </w:rPr>
          <w:t xml:space="preserve">13</w:t>
        </w:r>
      </w:hyperlink>
      <w:r>
        <w:rPr>
          <w:lang w:val="en"/>
        </w:rPr>
        <w:t xml:space="preserve">:</w:t>
      </w:r>
    </w:p>
    <w:p>
      <w:pPr>
        <w:pStyle w:val="BodyText"/>
      </w:pPr>
      <w:r>
        <w:rPr>
          <w:lang w:val="en"/>
        </w:rPr>
        <w:t xml:space="preserve">¶2</w:t>
      </w:r>
      <w:r>
        <w:rPr>
          <w:lang w:val="en"/>
        </w:rPr>
        <w:t xml:space="preserve"> </w:t>
      </w:r>
      <w:r>
        <w:rPr>
          <w:bCs/>
          <w:b/>
          <w:lang w:val="en"/>
        </w:rPr>
        <w:t xml:space="preserve">Labour productivity</w:t>
      </w:r>
      <w:r>
        <w:rPr>
          <w:lang w:val="en"/>
        </w:rPr>
        <w:t xml:space="preserve"> </w:t>
      </w:r>
      <m:oMathPara>
        <m:oMathParaPr>
          <m:jc m:val="center"/>
        </m:oMathParaPr>
        <m:oMath>
          <m:r>
            <m:rPr>
              <m:nor/>
              <m:sty m:val="p"/>
            </m:rPr>
            <m:t>Labour productivity</m:t>
          </m:r>
          <m:r>
            <m:rPr>
              <m:sty m:val="p"/>
            </m:rPr>
            <m:t>=</m:t>
          </m:r>
          <m:f>
            <m:fPr>
              <m:type m:val="bar"/>
            </m:fPr>
            <m:num>
              <m:r>
                <m:rPr>
                  <m:nor/>
                  <m:sty m:val="p"/>
                </m:rPr>
                <m:t>GVA</m:t>
              </m:r>
            </m:num>
            <m:den>
              <m:r>
                <m:rPr>
                  <m:nor/>
                  <m:sty m:val="p"/>
                </m:rPr>
                <m:t>Employment</m:t>
              </m:r>
            </m:den>
          </m:f>
        </m:oMath>
      </m:oMathPara>
      <w:r>
        <w:rPr>
          <w:lang w:val="en"/>
        </w:rPr>
        <w:t xml:space="preserve">Labour productivity</w:t>
      </w:r>
      <w:r>
        <w:rPr>
          <w:lang w:val="en"/>
        </w:rPr>
        <w:t xml:space="preserve">=</w:t>
      </w:r>
      <w:r>
        <w:rPr>
          <w:lang w:val="en"/>
        </w:rPr>
        <w:t xml:space="preserve">Employment</w:t>
      </w:r>
      <w:r>
        <w:rPr>
          <w:lang w:val="en"/>
        </w:rPr>
        <w:t xml:space="preserve">GVA</w:t>
      </w:r>
      <w:r>
        <w:rPr>
          <w:lang w:val="en"/>
        </w:rPr>
        <w:t xml:space="preserve">​</w:t>
      </w:r>
    </w:p>
    <w:p>
      <w:pPr>
        <w:pStyle w:val="FirstParagraph"/>
      </w:pPr>
      <w:r>
        <w:rPr>
          <w:lang w:val="en"/>
        </w:rPr>
        <w:t xml:space="preserve">¶3</w:t>
      </w:r>
      <w:r>
        <w:rPr>
          <w:lang w:val="en"/>
        </w:rPr>
        <w:t xml:space="preserve"> </w:t>
      </w:r>
      <w:r>
        <w:rPr>
          <w:lang w:val="en"/>
        </w:rPr>
        <w:t xml:space="preserve">This can be expressed per person employed, per job, or per hour worked. Labour productivity in ocean industries can be compared to national averages to assess relative efficiency.</w:t>
      </w:r>
    </w:p>
    <w:p>
      <w:pPr>
        <w:pStyle w:val="BodyText"/>
      </w:pPr>
      <w:r>
        <w:rPr>
          <w:lang w:val="en"/>
        </w:rPr>
        <w:t xml:space="preserve">¶4</w:t>
      </w:r>
      <w:r>
        <w:rPr>
          <w:lang w:val="en"/>
        </w:rPr>
        <w:t xml:space="preserve"> </w:t>
      </w:r>
      <w:r>
        <w:rPr>
          <w:bCs/>
          <w:b/>
          <w:lang w:val="en"/>
        </w:rPr>
        <w:t xml:space="preserve">Capital productivity</w:t>
      </w:r>
      <w:r>
        <w:rPr>
          <w:lang w:val="en"/>
        </w:rPr>
        <w:t xml:space="preserve"> </w:t>
      </w:r>
      <w:r>
        <w:rPr>
          <w:lang w:val="en"/>
        </w:rPr>
        <w:t xml:space="preserve">(where capital stock data are available)</w:t>
      </w:r>
      <w:r>
        <w:rPr>
          <w:lang w:val="en"/>
        </w:rPr>
        <w:t xml:space="preserve"> </w:t>
      </w:r>
      <m:oMathPara>
        <m:oMathParaPr>
          <m:jc m:val="center"/>
        </m:oMathParaPr>
        <m:oMath>
          <m:r>
            <m:rPr>
              <m:nor/>
              <m:sty m:val="p"/>
            </m:rPr>
            <m:t>Capital productivity</m:t>
          </m:r>
          <m:r>
            <m:rPr>
              <m:sty m:val="p"/>
            </m:rPr>
            <m:t>=</m:t>
          </m:r>
          <m:f>
            <m:fPr>
              <m:type m:val="bar"/>
            </m:fPr>
            <m:num>
              <m:r>
                <m:rPr>
                  <m:nor/>
                  <m:sty m:val="p"/>
                </m:rPr>
                <m:t>GVA</m:t>
              </m:r>
            </m:num>
            <m:den>
              <m:r>
                <m:rPr>
                  <m:nor/>
                  <m:sty m:val="p"/>
                </m:rPr>
                <m:t>Capital stock</m:t>
              </m:r>
            </m:den>
          </m:f>
        </m:oMath>
      </m:oMathPara>
      <w:r>
        <w:rPr>
          <w:lang w:val="en"/>
        </w:rPr>
        <w:t xml:space="preserve">Capital productivity</w:t>
      </w:r>
      <w:r>
        <w:rPr>
          <w:lang w:val="en"/>
        </w:rPr>
        <w:t xml:space="preserve">=</w:t>
      </w:r>
      <w:r>
        <w:rPr>
          <w:lang w:val="en"/>
        </w:rPr>
        <w:t xml:space="preserve">Capital stock</w:t>
      </w:r>
      <w:r>
        <w:rPr>
          <w:lang w:val="en"/>
        </w:rPr>
        <w:t xml:space="preserve">GVA</w:t>
      </w:r>
      <w:r>
        <w:rPr>
          <w:lang w:val="en"/>
        </w:rPr>
        <w:t xml:space="preserve">​</w:t>
      </w:r>
    </w:p>
    <w:p>
      <w:pPr>
        <w:pStyle w:val="FirstParagraph"/>
      </w:pPr>
      <w:r>
        <w:rPr>
          <w:lang w:val="en"/>
        </w:rPr>
        <w:t xml:space="preserve">¶5</w:t>
      </w:r>
      <w:r>
        <w:rPr>
          <w:lang w:val="en"/>
        </w:rPr>
        <w:t xml:space="preserve"> </w:t>
      </w:r>
      <w:r>
        <w:rPr>
          <w:lang w:val="en"/>
        </w:rPr>
        <w:t xml:space="preserve">Capital stock data for ocean industries are often limited, particularly for industries such as offshore energy and maritime transport where assets are mobile and may be registered in multiple jurisdictions. Where direct capital stock data are unavailable, compilers may estimate capital stocks using the perpetual inventory method, applying asset-specific depreciation rates to historical investment series. The asset valuation methodology described in</w:t>
      </w:r>
      <w:r>
        <w:rPr>
          <w:lang w:val="en"/>
        </w:rPr>
        <w:t xml:space="preserve"> </w:t>
      </w:r>
      <w:hyperlink r:id="rId101">
        <w:r>
          <w:rPr>
            <w:rStyle w:val="Hyperlink"/>
            <w:bCs/>
            <w:b/>
            <w:lang w:val="en"/>
          </w:rPr>
          <w:t xml:space="preserve">TG-3.1 Asset Accounts</w:t>
        </w:r>
      </w:hyperlink>
      <w:r>
        <w:rPr>
          <w:lang w:val="en"/>
        </w:rPr>
        <w:t xml:space="preserve"> </w:t>
      </w:r>
      <w:r>
        <w:rPr>
          <w:lang w:val="en"/>
        </w:rPr>
        <w:t xml:space="preserve">provides relevant guidance on produced capital valuation that can be adapted for ocean industries, particularly for vessels, port infrastructure, and offshore installations</w:t>
      </w:r>
      <w:hyperlink w:anchor="user-content-fn-14">
        <w:r>
          <w:rPr>
            <w:rStyle w:val="Hyperlink"/>
            <w:vertAlign w:val="superscript"/>
            <w:lang w:val="en"/>
          </w:rPr>
          <w:t xml:space="preserve">14</w:t>
        </w:r>
      </w:hyperlink>
      <w:r>
        <w:rPr>
          <w:lang w:val="en"/>
        </w:rPr>
        <w:t xml:space="preserve">.</w:t>
      </w:r>
    </w:p>
    <w:p>
      <w:pPr>
        <w:pStyle w:val="BodyText"/>
      </w:pPr>
      <w:r>
        <w:rPr>
          <w:lang w:val="en"/>
        </w:rPr>
        <w:t xml:space="preserve">¶6</w:t>
      </w:r>
      <w:r>
        <w:rPr>
          <w:lang w:val="en"/>
        </w:rPr>
        <w:t xml:space="preserve"> </w:t>
      </w:r>
      <w:r>
        <w:rPr>
          <w:bCs/>
          <w:b/>
          <w:lang w:val="en"/>
        </w:rPr>
        <w:t xml:space="preserve">Multi-factor productivity growth</w:t>
      </w:r>
      <w:r>
        <w:rPr>
          <w:lang w:val="en"/>
        </w:rPr>
        <w:t xml:space="preserve"> </w:t>
      </w:r>
      <w:r>
        <w:rPr>
          <w:lang w:val="en"/>
        </w:rPr>
        <w:t xml:space="preserve">requires more sophisticated analysis combining labour, capital, and intermediate inputs, typically using growth accounting or index number methods</w:t>
      </w:r>
      <w:hyperlink w:anchor="user-content-fn-15">
        <w:r>
          <w:rPr>
            <w:rStyle w:val="Hyperlink"/>
            <w:vertAlign w:val="superscript"/>
            <w:lang w:val="en"/>
          </w:rPr>
          <w:t xml:space="preserve">15</w:t>
        </w:r>
      </w:hyperlink>
      <w:r>
        <w:rPr>
          <w:lang w:val="en"/>
        </w:rPr>
        <w:t xml:space="preserve">.</w:t>
      </w:r>
    </w:p>
    <w:bookmarkStart w:id="104" w:name="ocean-economy-contribution-to-gdp-growth"/>
    <w:p>
      <w:pPr>
        <w:pStyle w:val="Heading4"/>
      </w:pPr>
      <w:r>
        <w:rPr>
          <w:lang w:val="en"/>
        </w:rPr>
        <w:t xml:space="preserve">Ocean economy contribution to GDP growth</w:t>
      </w:r>
    </w:p>
    <w:p>
      <w:pPr>
        <w:pStyle w:val="FirstParagraph"/>
      </w:pPr>
      <w:hyperlink w:anchor="ocean-economy-contribution-to-gdp-growth">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 economy contribution to GDP growth”</w:t>
        </w:r>
      </w:hyperlink>
    </w:p>
    <w:bookmarkEnd w:id="104"/>
    <w:p>
      <w:pPr>
        <w:pStyle w:val="BodyText"/>
      </w:pPr>
      <w:r>
        <w:rPr>
          <w:lang w:val="en"/>
        </w:rPr>
        <w:t xml:space="preserve">¶1</w:t>
      </w:r>
      <w:r>
        <w:rPr>
          <w:lang w:val="en"/>
        </w:rPr>
        <w:t xml:space="preserve"> </w:t>
      </w:r>
      <w:r>
        <w:rPr>
          <w:lang w:val="en"/>
        </w:rPr>
        <w:t xml:space="preserve">A particularly policy-relevant indicator is the contribution of the ocean economy to overall GDP growth</w:t>
      </w:r>
      <w:hyperlink w:anchor="user-content-fn-16">
        <w:r>
          <w:rPr>
            <w:rStyle w:val="Hyperlink"/>
            <w:vertAlign w:val="superscript"/>
            <w:lang w:val="en"/>
          </w:rPr>
          <w:t xml:space="preserve">16</w:t>
        </w:r>
      </w:hyperlink>
      <w:r>
        <w:rPr>
          <w:lang w:val="en"/>
        </w:rPr>
        <w:t xml:space="preserve">:</w:t>
      </w:r>
    </w:p>
    <w:p>
      <w:pPr>
        <w:pStyle w:val="BodyText"/>
      </w:pPr>
      <w:r>
        <w:rPr>
          <w:lang w:val="en"/>
        </w:rPr>
        <w:t xml:space="preserve">¶2</w:t>
      </w:r>
      <w:r>
        <w:rPr>
          <w:lang w:val="en"/>
        </w:rPr>
        <w:t xml:space="preserve"> </w:t>
      </w:r>
      <m:oMathPara>
        <m:oMathParaPr>
          <m:jc m:val="center"/>
        </m:oMathParaPr>
        <m:oMath>
          <m:r>
            <m:rPr>
              <m:nor/>
              <m:sty m:val="p"/>
            </m:rPr>
            <m:t>Contribution to GDP growth</m:t>
          </m:r>
          <m:r>
            <m:rPr>
              <m:sty m:val="p"/>
            </m:rPr>
            <m:t>=</m:t>
          </m:r>
          <m:f>
            <m:fPr>
              <m:type m:val="bar"/>
            </m:fPr>
            <m:num>
              <m:r>
                <m:t>Δ</m:t>
              </m:r>
              <m:r>
                <m:rPr>
                  <m:nor/>
                  <m:sty m:val="p"/>
                </m:rPr>
                <m:t>Ocean GVA</m:t>
              </m:r>
            </m:num>
            <m:den>
              <m:sSub>
                <m:e>
                  <m:r>
                    <m:rPr>
                      <m:nor/>
                      <m:sty m:val="p"/>
                    </m:rPr>
                    <m:t>GDP</m:t>
                  </m:r>
                </m:e>
                <m:sub>
                  <m:r>
                    <m:t>t</m:t>
                  </m:r>
                  <m:r>
                    <m:rPr>
                      <m:sty m:val="p"/>
                    </m:rPr>
                    <m:t>−</m:t>
                  </m:r>
                  <m:r>
                    <m:t>1</m:t>
                  </m:r>
                </m:sub>
              </m:sSub>
            </m:den>
          </m:f>
          <m:r>
            <m:rPr>
              <m:sty m:val="p"/>
            </m:rPr>
            <m:t>×</m:t>
          </m:r>
          <m:r>
            <m:t>100</m:t>
          </m:r>
        </m:oMath>
      </m:oMathPara>
      <w:r>
        <w:rPr>
          <w:lang w:val="en"/>
        </w:rPr>
        <w:t xml:space="preserve">Contribution to GDP growth</w:t>
      </w:r>
      <w:r>
        <w:rPr>
          <w:lang w:val="en"/>
        </w:rPr>
        <w:t xml:space="preserve">=</w:t>
      </w:r>
      <w:r>
        <w:rPr>
          <w:lang w:val="en"/>
        </w:rPr>
        <w:t xml:space="preserve">GDP</w:t>
      </w:r>
      <w:r>
        <w:rPr>
          <w:lang w:val="en"/>
        </w:rPr>
        <w:t xml:space="preserve">t</w:t>
      </w:r>
      <w:r>
        <w:rPr>
          <w:lang w:val="en"/>
        </w:rPr>
        <w:t xml:space="preserve">−</w:t>
      </w:r>
      <w:r>
        <w:rPr>
          <w:lang w:val="en"/>
        </w:rPr>
        <w:t xml:space="preserve">1</w:t>
      </w:r>
      <w:r>
        <w:rPr>
          <w:lang w:val="en"/>
        </w:rPr>
        <w:t xml:space="preserve">​</w:t>
      </w:r>
      <w:r>
        <w:rPr>
          <w:lang w:val="en"/>
        </w:rPr>
        <w:t xml:space="preserve">Δ</w:t>
      </w:r>
      <w:r>
        <w:rPr>
          <w:lang w:val="en"/>
        </w:rPr>
        <w:t xml:space="preserve">Ocean GVA</w:t>
      </w:r>
      <w:r>
        <w:rPr>
          <w:lang w:val="en"/>
        </w:rPr>
        <w:t xml:space="preserve">​</w:t>
      </w:r>
      <w:r>
        <w:rPr>
          <w:lang w:val="en"/>
        </w:rPr>
        <w:t xml:space="preserve">×</w:t>
      </w:r>
      <w:r>
        <w:rPr>
          <w:lang w:val="en"/>
        </w:rPr>
        <w:t xml:space="preserve">100</w:t>
      </w:r>
    </w:p>
    <w:p>
      <w:pPr>
        <w:pStyle w:val="FirstParagraph"/>
      </w:pPr>
      <w:r>
        <w:rPr>
          <w:lang w:val="en"/>
        </w:rPr>
        <w:t xml:space="preserve">¶3</w:t>
      </w:r>
      <w:r>
        <w:rPr>
          <w:lang w:val="en"/>
        </w:rPr>
        <w:t xml:space="preserve"> </w:t>
      </w:r>
      <w:r>
        <w:rPr>
          <w:lang w:val="en"/>
        </w:rPr>
        <w:t xml:space="preserve">This measures the percentage point contribution of ocean economy growth to national GDP growth. This indicator is directly relevant for the budget justifications addressed in</w:t>
      </w:r>
      <w:r>
        <w:rPr>
          <w:lang w:val="en"/>
        </w:rPr>
        <w:t xml:space="preserve"> </w:t>
      </w:r>
      <w:hyperlink r:id="rId33">
        <w:r>
          <w:rPr>
            <w:rStyle w:val="Hyperlink"/>
            <w:bCs/>
            <w:b/>
            <w:lang w:val="en"/>
          </w:rPr>
          <w:t xml:space="preserve">TG-1.1 OA and National Budget Processes</w:t>
        </w:r>
      </w:hyperlink>
      <w:r>
        <w:rPr>
          <w:lang w:val="en"/>
        </w:rPr>
        <w:t xml:space="preserve"> </w:t>
      </w:r>
      <w:r>
        <w:rPr>
          <w:lang w:val="en"/>
        </w:rPr>
        <w:t xml:space="preserve">and for demonstrating the economic importance of ocean management investment.</w:t>
      </w:r>
    </w:p>
    <w:bookmarkStart w:id="107" w:name="X3871eadc8283a51612a00c387a6200a6042b9cd"/>
    <w:p>
      <w:pPr>
        <w:pStyle w:val="Heading3"/>
      </w:pPr>
      <w:r>
        <w:rPr>
          <w:lang w:val="en"/>
        </w:rPr>
        <w:t xml:space="preserve">3.4</w:t>
      </w:r>
      <w:r>
        <w:rPr>
          <w:lang w:val="en"/>
        </w:rPr>
        <w:t xml:space="preserve"> </w:t>
      </w:r>
      <w:r>
        <w:rPr>
          <w:lang w:val="en"/>
        </w:rPr>
        <w:t xml:space="preserve">Net Ocean GVA</w:t>
      </w:r>
    </w:p>
    <w:p>
      <w:pPr>
        <w:pStyle w:val="FirstParagraph"/>
      </w:pPr>
      <w:hyperlink w:anchor="X3871eadc8283a51612a00c387a6200a6042b9cd">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Net Ocean GVA”</w:t>
        </w:r>
      </w:hyperlink>
    </w:p>
    <w:bookmarkEnd w:id="107"/>
    <w:p>
      <w:pPr>
        <w:pStyle w:val="BodyText"/>
      </w:pPr>
      <w:r>
        <w:rPr>
          <w:lang w:val="en"/>
        </w:rPr>
        <w:t xml:space="preserve">¶1</w:t>
      </w:r>
      <w:r>
        <w:rPr>
          <w:lang w:val="en"/>
        </w:rPr>
        <w:t xml:space="preserve"> </w:t>
      </w:r>
      <w:r>
        <w:rPr>
          <w:lang w:val="en"/>
        </w:rPr>
        <w:t xml:space="preserve">Gross measures of ocean economy value added do not account for the depletion of the marine natural resources on which many ocean industries depend. The SNA 2025 treats depletion of non-produced natural resources as a cost of production (SNA 2025 Chapter 13, para 13.26; see also the net value added formula in Chapter 15, para 15.137), and</w:t>
      </w:r>
      <w:r>
        <w:rPr>
          <w:lang w:val="en"/>
        </w:rPr>
        <w:t xml:space="preserve"> </w:t>
      </w:r>
      <w:hyperlink r:id="rId33">
        <w:r>
          <w:rPr>
            <w:rStyle w:val="Hyperlink"/>
            <w:bCs/>
            <w:b/>
            <w:lang w:val="en"/>
          </w:rPr>
          <w:t xml:space="preserve">TG-1.1</w:t>
        </w:r>
      </w:hyperlink>
      <w:r>
        <w:rPr>
          <w:lang w:val="en"/>
        </w:rPr>
        <w:t xml:space="preserve"> </w:t>
      </w:r>
      <w:r>
        <w:rPr>
          <w:lang w:val="en"/>
        </w:rPr>
        <w:t xml:space="preserve">Section 3.1 identifies net domestic product (NDP) as the conceptually preferred measure of economic growth</w:t>
      </w:r>
      <w:hyperlink w:anchor="user-content-fn-17">
        <w:r>
          <w:rPr>
            <w:rStyle w:val="Hyperlink"/>
            <w:vertAlign w:val="superscript"/>
            <w:lang w:val="en"/>
          </w:rPr>
          <w:t xml:space="preserve">17</w:t>
        </w:r>
      </w:hyperlink>
      <w:r>
        <w:rPr>
          <w:lang w:val="en"/>
        </w:rPr>
        <w:t xml:space="preserve">. For the ocean economy, this has particular significance because fisheries, offshore minerals, and other extractive ocean industries draw down natural capital stocks.</w:t>
      </w:r>
    </w:p>
    <w:p>
      <w:pPr>
        <w:pStyle w:val="BodyText"/>
      </w:pPr>
      <w:r>
        <w:rPr>
          <w:lang w:val="en"/>
        </w:rPr>
        <w:t xml:space="preserve">¶2</w:t>
      </w:r>
      <w:r>
        <w:rPr>
          <w:lang w:val="en"/>
        </w:rPr>
        <w:t xml:space="preserve"> </w:t>
      </w:r>
      <w:r>
        <w:rPr>
          <w:bCs/>
          <w:b/>
          <w:lang w:val="en"/>
        </w:rPr>
        <w:t xml:space="preserve">Net ocean GVA</w:t>
      </w:r>
      <w:r>
        <w:rPr>
          <w:lang w:val="en"/>
        </w:rPr>
        <w:t xml:space="preserve"> </w:t>
      </w:r>
      <w:r>
        <w:rPr>
          <w:lang w:val="en"/>
        </w:rPr>
        <w:t xml:space="preserve">is defined as:</w:t>
      </w:r>
    </w:p>
    <w:p>
      <w:pPr>
        <w:pStyle w:val="BodyText"/>
      </w:pPr>
      <w:r>
        <w:rPr>
          <w:lang w:val="en"/>
        </w:rPr>
        <w:t xml:space="preserve">¶3</w:t>
      </w:r>
      <w:r>
        <w:rPr>
          <w:lang w:val="en"/>
        </w:rPr>
        <w:t xml:space="preserve"> </w:t>
      </w:r>
      <m:oMathPara>
        <m:oMathParaPr>
          <m:jc m:val="center"/>
        </m:oMathParaPr>
        <m:oMath>
          <m:r>
            <m:rPr>
              <m:nor/>
              <m:sty m:val="p"/>
            </m:rPr>
            <m:t>Net ocean GVA</m:t>
          </m:r>
          <m:r>
            <m:rPr>
              <m:sty m:val="p"/>
            </m:rPr>
            <m:t>=</m:t>
          </m:r>
          <m:r>
            <m:rPr>
              <m:nor/>
              <m:sty m:val="p"/>
            </m:rPr>
            <m:t>Gross ocean GVA</m:t>
          </m:r>
          <m:r>
            <m:rPr>
              <m:sty m:val="p"/>
            </m:rPr>
            <m:t>−</m:t>
          </m:r>
          <m:r>
            <m:rPr>
              <m:nor/>
              <m:sty m:val="p"/>
            </m:rPr>
            <m:t>Depletion of marine natural resources</m:t>
          </m:r>
        </m:oMath>
      </m:oMathPara>
      <w:r>
        <w:rPr>
          <w:lang w:val="en"/>
        </w:rPr>
        <w:t xml:space="preserve">Net ocean GVA</w:t>
      </w:r>
      <w:r>
        <w:rPr>
          <w:lang w:val="en"/>
        </w:rPr>
        <w:t xml:space="preserve">=</w:t>
      </w:r>
      <w:r>
        <w:rPr>
          <w:lang w:val="en"/>
        </w:rPr>
        <w:t xml:space="preserve">Gross ocean GVA</w:t>
      </w:r>
      <w:r>
        <w:rPr>
          <w:lang w:val="en"/>
        </w:rPr>
        <w:t xml:space="preserve">−</w:t>
      </w:r>
      <w:r>
        <w:rPr>
          <w:lang w:val="en"/>
        </w:rPr>
        <w:t xml:space="preserve">Depletion of marine natural resources</w:t>
      </w:r>
    </w:p>
    <w:p>
      <w:pPr>
        <w:pStyle w:val="FirstParagraph"/>
      </w:pPr>
      <w:r>
        <w:rPr>
          <w:lang w:val="en"/>
        </w:rPr>
        <w:t xml:space="preserve">¶4</w:t>
      </w:r>
      <w:r>
        <w:rPr>
          <w:lang w:val="en"/>
        </w:rPr>
        <w:t xml:space="preserve"> </w:t>
      </w:r>
      <w:r>
        <w:rPr>
          <w:lang w:val="en"/>
        </w:rPr>
        <w:t xml:space="preserve">Depletion of marine natural resources includes:</w:t>
      </w:r>
    </w:p>
    <w:p>
      <w:pPr>
        <w:numPr>
          <w:ilvl w:val="0"/>
          <w:numId w:val="1013"/>
        </w:numPr>
        <w:pStyle w:val="Compact"/>
      </w:pPr>
      <w:r>
        <w:rPr>
          <w:lang w:val="en"/>
        </w:rPr>
        <w:t xml:space="preserve">¶5</w:t>
      </w:r>
      <w:r>
        <w:rPr>
          <w:lang w:val="en"/>
        </w:rPr>
        <w:t xml:space="preserve"> </w:t>
      </w:r>
      <w:r>
        <w:rPr>
          <w:bCs/>
          <w:b/>
          <w:lang w:val="en"/>
        </w:rPr>
        <w:t xml:space="preserve">Depletion of fish stocks</w:t>
      </w:r>
      <w:r>
        <w:rPr>
          <w:lang w:val="en"/>
        </w:rPr>
        <w:t xml:space="preserve"> </w:t>
      </w:r>
      <w:r>
        <w:rPr>
          <w:lang w:val="en"/>
        </w:rPr>
        <w:t xml:space="preserve">— the decline in the economic value of fish stock assets due to harvesting in excess of natural regeneration. Estimation methods are described in</w:t>
      </w:r>
      <w:r>
        <w:rPr>
          <w:lang w:val="en"/>
        </w:rPr>
        <w:t xml:space="preserve"> </w:t>
      </w:r>
      <w:hyperlink r:id="rId101">
        <w:r>
          <w:rPr>
            <w:rStyle w:val="Hyperlink"/>
            <w:bCs/>
            <w:b/>
            <w:lang w:val="en"/>
          </w:rPr>
          <w:t xml:space="preserve">TG-3.1 Asset Accounts</w:t>
        </w:r>
      </w:hyperlink>
      <w:r>
        <w:rPr>
          <w:lang w:val="en"/>
        </w:rPr>
        <w:t xml:space="preserve">, drawing on stock assessment data from</w:t>
      </w:r>
      <w:r>
        <w:rPr>
          <w:lang w:val="en"/>
        </w:rPr>
        <w:t xml:space="preserve"> </w:t>
      </w:r>
      <w:hyperlink r:id="rId108">
        <w:r>
          <w:rPr>
            <w:rStyle w:val="Hyperlink"/>
            <w:bCs/>
            <w:b/>
            <w:lang w:val="en"/>
          </w:rPr>
          <w:t xml:space="preserve">TG-6.7 Fisheries Accounting: Integrating Stock Assessment</w:t>
        </w:r>
      </w:hyperlink>
      <w:r>
        <w:rPr>
          <w:lang w:val="en"/>
        </w:rPr>
        <w:t xml:space="preserve">.</w:t>
      </w:r>
    </w:p>
    <w:p>
      <w:pPr>
        <w:numPr>
          <w:ilvl w:val="0"/>
          <w:numId w:val="1013"/>
        </w:numPr>
        <w:pStyle w:val="Compact"/>
      </w:pPr>
      <w:r>
        <w:rPr>
          <w:lang w:val="en"/>
        </w:rPr>
        <w:t xml:space="preserve">¶6</w:t>
      </w:r>
      <w:r>
        <w:rPr>
          <w:lang w:val="en"/>
        </w:rPr>
        <w:t xml:space="preserve"> </w:t>
      </w:r>
      <w:r>
        <w:rPr>
          <w:bCs/>
          <w:b/>
          <w:lang w:val="en"/>
        </w:rPr>
        <w:t xml:space="preserve">Depletion of seabed minerals</w:t>
      </w:r>
      <w:r>
        <w:rPr>
          <w:lang w:val="en"/>
        </w:rPr>
        <w:t xml:space="preserve"> </w:t>
      </w:r>
      <w:r>
        <w:rPr>
          <w:lang w:val="en"/>
        </w:rPr>
        <w:t xml:space="preserve">— the decline in the economic value of offshore mineral and hydrocarbon reserves due to extraction. Valuation follows the SNA 2025 treatment of subsoil assets (Chapter 15, rows 22—23 of the Use Table).</w:t>
      </w:r>
    </w:p>
    <w:p>
      <w:pPr>
        <w:pStyle w:val="FirstParagraph"/>
      </w:pPr>
      <w:r>
        <w:rPr>
          <w:lang w:val="en"/>
        </w:rPr>
        <w:t xml:space="preserve">¶7</w:t>
      </w:r>
      <w:r>
        <w:rPr>
          <w:lang w:val="en"/>
        </w:rPr>
        <w:t xml:space="preserve"> </w:t>
      </w:r>
      <w:r>
        <w:rPr>
          <w:lang w:val="en"/>
        </w:rPr>
        <w:t xml:space="preserve">Where depletion estimates are available, compilers should present both gross and net measures of ocean GVA side by side. The difference between gross and net ocean GVA reveals the extent to which the ocean economy’s recorded economic contribution depends on the drawdown of natural capital. A large and growing gap between gross and net ocean GVA signals unsustainable resource use patterns that should inform policy deliberations under medium-term expenditure frameworks (</w:t>
      </w:r>
      <w:hyperlink r:id="rId33">
        <w:r>
          <w:rPr>
            <w:rStyle w:val="Hyperlink"/>
            <w:bCs/>
            <w:b/>
            <w:lang w:val="en"/>
          </w:rPr>
          <w:t xml:space="preserve">TG-1.1</w:t>
        </w:r>
      </w:hyperlink>
      <w:r>
        <w:rPr>
          <w:lang w:val="en"/>
        </w:rPr>
        <w:t xml:space="preserve"> </w:t>
      </w:r>
      <w:r>
        <w:rPr>
          <w:lang w:val="en"/>
        </w:rPr>
        <w:t xml:space="preserve">Section 3.4). In the Country A illustration (Table 3.1), if fish stock depletion is estimated at USD 35 million and offshore mineral depletion at USD 60 million per year, net ocean GVA would be USD 1,655 million—approximately 5.4 per cent below the gross figure of USD 1,750 million.</w:t>
      </w:r>
    </w:p>
    <w:bookmarkStart w:id="111" w:name="Xd4bff562e8a690539d4c905feb3cca7ae64175c"/>
    <w:p>
      <w:pPr>
        <w:pStyle w:val="Heading3"/>
      </w:pPr>
      <w:r>
        <w:rPr>
          <w:lang w:val="en"/>
        </w:rPr>
        <w:t xml:space="preserve">3.5</w:t>
      </w:r>
      <w:r>
        <w:rPr>
          <w:lang w:val="en"/>
        </w:rPr>
        <w:t xml:space="preserve"> </w:t>
      </w:r>
      <w:r>
        <w:rPr>
          <w:lang w:val="en"/>
        </w:rPr>
        <w:t xml:space="preserve">Employment Structure</w:t>
      </w:r>
    </w:p>
    <w:p>
      <w:pPr>
        <w:pStyle w:val="FirstParagraph"/>
      </w:pPr>
      <w:hyperlink w:anchor="Xd4bff562e8a690539d4c905feb3cca7ae64175c">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Employment Structure”</w:t>
        </w:r>
      </w:hyperlink>
    </w:p>
    <w:bookmarkEnd w:id="111"/>
    <w:p>
      <w:pPr>
        <w:pStyle w:val="BodyText"/>
      </w:pPr>
      <w:r>
        <w:rPr>
          <w:lang w:val="en"/>
        </w:rPr>
        <w:t xml:space="preserve">¶1</w:t>
      </w:r>
      <w:r>
        <w:rPr>
          <w:lang w:val="en"/>
        </w:rPr>
        <w:t xml:space="preserve"> </w:t>
      </w:r>
      <w:r>
        <w:rPr>
          <w:lang w:val="en"/>
        </w:rPr>
        <w:t xml:space="preserve">Employment structure indicators characterise the labour market dimensions of the ocean economy, informing policies on education, training, migration, and social protection.</w:t>
      </w:r>
    </w:p>
    <w:bookmarkStart w:id="114" w:name="employment-levels-and-shares"/>
    <w:p>
      <w:pPr>
        <w:pStyle w:val="Heading4"/>
      </w:pPr>
      <w:r>
        <w:rPr>
          <w:lang w:val="en"/>
        </w:rPr>
        <w:t xml:space="preserve">Employment levels and shares</w:t>
      </w:r>
    </w:p>
    <w:p>
      <w:pPr>
        <w:pStyle w:val="FirstParagraph"/>
      </w:pPr>
      <w:hyperlink w:anchor="employment-levels-and-shares">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“Employment levels and shares”</w:t>
        </w:r>
      </w:hyperlink>
    </w:p>
    <w:bookmarkEnd w:id="114"/>
    <w:p>
      <w:pPr>
        <w:pStyle w:val="BodyText"/>
      </w:pPr>
      <w:r>
        <w:rPr>
          <w:lang w:val="en"/>
        </w:rPr>
        <w:t xml:space="preserve">¶1</w:t>
      </w:r>
      <w:r>
        <w:rPr>
          <w:lang w:val="en"/>
        </w:rPr>
        <w:t xml:space="preserve"> </w:t>
      </w:r>
      <w:r>
        <w:rPr>
          <w:bCs/>
          <w:b/>
          <w:lang w:val="en"/>
        </w:rPr>
        <w:t xml:space="preserve">Ocean economy employment share</w:t>
      </w:r>
      <w:r>
        <w:rPr>
          <w:lang w:val="en"/>
        </w:rPr>
        <w:t xml:space="preserve"> </w:t>
      </w:r>
      <m:oMathPara>
        <m:oMathParaPr>
          <m:jc m:val="center"/>
        </m:oMathParaPr>
        <m:oMath>
          <m:r>
            <m:rPr>
              <m:nor/>
              <m:sty m:val="p"/>
            </m:rPr>
            <m:t>Employment share</m:t>
          </m:r>
          <m:r>
            <m:rPr>
              <m:sty m:val="p"/>
            </m:rPr>
            <m:t>=</m:t>
          </m:r>
          <m:f>
            <m:fPr>
              <m:type m:val="bar"/>
            </m:fPr>
            <m:num>
              <m:r>
                <m:rPr>
                  <m:nor/>
                  <m:sty m:val="p"/>
                </m:rPr>
                <m:t>Ocean employment</m:t>
              </m:r>
            </m:num>
            <m:den>
              <m:r>
                <m:rPr>
                  <m:nor/>
                  <m:sty m:val="p"/>
                </m:rPr>
                <m:t>Total national employment</m:t>
              </m:r>
            </m:den>
          </m:f>
          <m:r>
            <m:rPr>
              <m:sty m:val="p"/>
            </m:rPr>
            <m:t>×</m:t>
          </m:r>
          <m:r>
            <m:t>100</m:t>
          </m:r>
        </m:oMath>
      </m:oMathPara>
      <w:r>
        <w:rPr>
          <w:lang w:val="en"/>
        </w:rPr>
        <w:t xml:space="preserve">Employment share</w:t>
      </w:r>
      <w:r>
        <w:rPr>
          <w:lang w:val="en"/>
        </w:rPr>
        <w:t xml:space="preserve">=</w:t>
      </w:r>
      <w:r>
        <w:rPr>
          <w:lang w:val="en"/>
        </w:rPr>
        <w:t xml:space="preserve">Total national employment</w:t>
      </w:r>
      <w:r>
        <w:rPr>
          <w:lang w:val="en"/>
        </w:rPr>
        <w:t xml:space="preserve">Ocean employment</w:t>
      </w:r>
      <w:r>
        <w:rPr>
          <w:lang w:val="en"/>
        </w:rPr>
        <w:t xml:space="preserve">​</w:t>
      </w:r>
      <w:r>
        <w:rPr>
          <w:lang w:val="en"/>
        </w:rPr>
        <w:t xml:space="preserve">×</w:t>
      </w:r>
      <w:r>
        <w:rPr>
          <w:lang w:val="en"/>
        </w:rPr>
        <w:t xml:space="preserve">100</w:t>
      </w:r>
    </w:p>
    <w:p>
      <w:pPr>
        <w:pStyle w:val="FirstParagraph"/>
      </w:pPr>
      <w:r>
        <w:rPr>
          <w:lang w:val="en"/>
        </w:rPr>
        <w:t xml:space="preserve">¶2</w:t>
      </w:r>
      <w:r>
        <w:rPr>
          <w:lang w:val="en"/>
        </w:rPr>
        <w:t xml:space="preserve"> </w:t>
      </w:r>
      <w:r>
        <w:rPr>
          <w:bCs/>
          <w:b/>
          <w:lang w:val="en"/>
        </w:rPr>
        <w:t xml:space="preserve">Industry-specific employment</w:t>
      </w:r>
      <w:r>
        <w:rPr>
          <w:lang w:val="en"/>
        </w:rPr>
        <w:t xml:space="preserve"> </w:t>
      </w:r>
      <w:r>
        <w:rPr>
          <w:lang w:val="en"/>
        </w:rPr>
        <w:t xml:space="preserve">— employment in each ocean industry, enabling analysis of which sectors are most labour-intensive</w:t>
      </w:r>
      <w:hyperlink w:anchor="user-content-fn-18">
        <w:r>
          <w:rPr>
            <w:rStyle w:val="Hyperlink"/>
            <w:vertAlign w:val="superscript"/>
            <w:lang w:val="en"/>
          </w:rPr>
          <w:t xml:space="preserve">18</w:t>
        </w:r>
      </w:hyperlink>
      <w:r>
        <w:rPr>
          <w:lang w:val="en"/>
        </w:rPr>
        <w:t xml:space="preserve">.</w:t>
      </w:r>
    </w:p>
    <w:bookmarkStart w:id="117" w:name="employment-characteristics"/>
    <w:p>
      <w:pPr>
        <w:pStyle w:val="Heading4"/>
      </w:pPr>
      <w:r>
        <w:rPr>
          <w:lang w:val="en"/>
        </w:rPr>
        <w:t xml:space="preserve">Employment characteristics</w:t>
      </w:r>
    </w:p>
    <w:p>
      <w:pPr>
        <w:pStyle w:val="FirstParagraph"/>
      </w:pPr>
      <w:hyperlink w:anchor="employment-characteristics">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“Employment characteristics”</w:t>
        </w:r>
      </w:hyperlink>
    </w:p>
    <w:bookmarkEnd w:id="117"/>
    <w:p>
      <w:pPr>
        <w:pStyle w:val="BodyText"/>
      </w:pPr>
      <w:r>
        <w:rPr>
          <w:lang w:val="en"/>
        </w:rPr>
        <w:t xml:space="preserve">¶1</w:t>
      </w:r>
      <w:r>
        <w:rPr>
          <w:lang w:val="en"/>
        </w:rPr>
        <w:t xml:space="preserve"> </w:t>
      </w:r>
      <w:r>
        <w:rPr>
          <w:lang w:val="en"/>
        </w:rPr>
        <w:t xml:space="preserve">Beyond aggregate employment, structural analysis should capture employment quality and composition</w:t>
      </w:r>
      <w:hyperlink w:anchor="user-content-fn-19">
        <w:r>
          <w:rPr>
            <w:rStyle w:val="Hyperlink"/>
            <w:vertAlign w:val="superscript"/>
            <w:lang w:val="en"/>
          </w:rPr>
          <w:t xml:space="preserve">19</w:t>
        </w:r>
      </w:hyperlink>
      <w:r>
        <w:rPr>
          <w:lang w:val="en"/>
        </w:rPr>
        <w:t xml:space="preserve">:</w:t>
      </w:r>
    </w:p>
    <w:p>
      <w:pPr>
        <w:pStyle w:val="BodyText"/>
      </w:pPr>
      <w:r>
        <w:rPr>
          <w:lang w:val="en"/>
        </w:rPr>
        <w:t xml:space="preserve">¶2</w:t>
      </w:r>
      <w:r>
        <w:rPr>
          <w:lang w:val="en"/>
        </w:rPr>
        <w:t xml:space="preserve"> </w:t>
      </w:r>
      <w:r>
        <w:rPr>
          <w:bCs/>
          <w:b/>
          <w:lang w:val="en"/>
        </w:rPr>
        <w:t xml:space="preserve">Status in employment</w:t>
      </w:r>
    </w:p>
    <w:p>
      <w:pPr>
        <w:numPr>
          <w:ilvl w:val="0"/>
          <w:numId w:val="1014"/>
        </w:numPr>
        <w:pStyle w:val="Compact"/>
      </w:pPr>
      <w:r>
        <w:rPr>
          <w:lang w:val="en"/>
        </w:rPr>
        <w:t xml:space="preserve">¶3</w:t>
      </w:r>
      <w:r>
        <w:rPr>
          <w:lang w:val="en"/>
        </w:rPr>
        <w:t xml:space="preserve"> </w:t>
      </w:r>
      <w:r>
        <w:rPr>
          <w:lang w:val="en"/>
        </w:rPr>
        <w:t xml:space="preserve">Employees (wage and salary workers)</w:t>
      </w:r>
    </w:p>
    <w:p>
      <w:pPr>
        <w:numPr>
          <w:ilvl w:val="0"/>
          <w:numId w:val="1014"/>
        </w:numPr>
        <w:pStyle w:val="Compact"/>
      </w:pPr>
      <w:r>
        <w:rPr>
          <w:lang w:val="en"/>
        </w:rPr>
        <w:t xml:space="preserve">¶4</w:t>
      </w:r>
      <w:r>
        <w:rPr>
          <w:lang w:val="en"/>
        </w:rPr>
        <w:t xml:space="preserve"> </w:t>
      </w:r>
      <w:r>
        <w:rPr>
          <w:lang w:val="en"/>
        </w:rPr>
        <w:t xml:space="preserve">Employers</w:t>
      </w:r>
    </w:p>
    <w:p>
      <w:pPr>
        <w:numPr>
          <w:ilvl w:val="0"/>
          <w:numId w:val="1014"/>
        </w:numPr>
        <w:pStyle w:val="Compact"/>
      </w:pPr>
      <w:r>
        <w:rPr>
          <w:lang w:val="en"/>
        </w:rPr>
        <w:t xml:space="preserve">¶5</w:t>
      </w:r>
      <w:r>
        <w:rPr>
          <w:lang w:val="en"/>
        </w:rPr>
        <w:t xml:space="preserve"> </w:t>
      </w:r>
      <w:r>
        <w:rPr>
          <w:lang w:val="en"/>
        </w:rPr>
        <w:t xml:space="preserve">Own-account workers</w:t>
      </w:r>
    </w:p>
    <w:p>
      <w:pPr>
        <w:numPr>
          <w:ilvl w:val="0"/>
          <w:numId w:val="1014"/>
        </w:numPr>
        <w:pStyle w:val="Compact"/>
      </w:pPr>
      <w:r>
        <w:rPr>
          <w:lang w:val="en"/>
        </w:rPr>
        <w:t xml:space="preserve">¶6</w:t>
      </w:r>
      <w:r>
        <w:rPr>
          <w:lang w:val="en"/>
        </w:rPr>
        <w:t xml:space="preserve"> </w:t>
      </w:r>
      <w:r>
        <w:rPr>
          <w:lang w:val="en"/>
        </w:rPr>
        <w:t xml:space="preserve">Contributing family workers</w:t>
      </w:r>
    </w:p>
    <w:p>
      <w:pPr>
        <w:pStyle w:val="FirstParagraph"/>
      </w:pPr>
      <w:r>
        <w:rPr>
          <w:lang w:val="en"/>
        </w:rPr>
        <w:t xml:space="preserve">¶7</w:t>
      </w:r>
      <w:r>
        <w:rPr>
          <w:lang w:val="en"/>
        </w:rPr>
        <w:t xml:space="preserve"> </w:t>
      </w:r>
      <w:r>
        <w:rPr>
          <w:bCs/>
          <w:b/>
          <w:lang w:val="en"/>
        </w:rPr>
        <w:t xml:space="preserve">Working time</w:t>
      </w:r>
    </w:p>
    <w:p>
      <w:pPr>
        <w:numPr>
          <w:ilvl w:val="0"/>
          <w:numId w:val="1015"/>
        </w:numPr>
        <w:pStyle w:val="Compact"/>
      </w:pPr>
      <w:r>
        <w:rPr>
          <w:lang w:val="en"/>
        </w:rPr>
        <w:t xml:space="preserve">¶8</w:t>
      </w:r>
      <w:r>
        <w:rPr>
          <w:lang w:val="en"/>
        </w:rPr>
        <w:t xml:space="preserve"> </w:t>
      </w:r>
      <w:r>
        <w:rPr>
          <w:lang w:val="en"/>
        </w:rPr>
        <w:t xml:space="preserve">Full-time versus part-time employment</w:t>
      </w:r>
    </w:p>
    <w:p>
      <w:pPr>
        <w:numPr>
          <w:ilvl w:val="0"/>
          <w:numId w:val="1015"/>
        </w:numPr>
        <w:pStyle w:val="Compact"/>
      </w:pPr>
      <w:r>
        <w:rPr>
          <w:lang w:val="en"/>
        </w:rPr>
        <w:t xml:space="preserve">¶9</w:t>
      </w:r>
      <w:r>
        <w:rPr>
          <w:lang w:val="en"/>
        </w:rPr>
        <w:t xml:space="preserve"> </w:t>
      </w:r>
      <w:r>
        <w:rPr>
          <w:lang w:val="en"/>
        </w:rPr>
        <w:t xml:space="preserve">Average hours worked</w:t>
      </w:r>
    </w:p>
    <w:p>
      <w:pPr>
        <w:numPr>
          <w:ilvl w:val="0"/>
          <w:numId w:val="1015"/>
        </w:numPr>
        <w:pStyle w:val="Compact"/>
      </w:pPr>
      <w:r>
        <w:rPr>
          <w:lang w:val="en"/>
        </w:rPr>
        <w:t xml:space="preserve">¶10</w:t>
      </w:r>
      <w:r>
        <w:rPr>
          <w:lang w:val="en"/>
        </w:rPr>
        <w:t xml:space="preserve"> </w:t>
      </w:r>
      <w:r>
        <w:rPr>
          <w:lang w:val="en"/>
        </w:rPr>
        <w:t xml:space="preserve">Seasonal patterns in employment</w:t>
      </w:r>
    </w:p>
    <w:p>
      <w:pPr>
        <w:pStyle w:val="FirstParagraph"/>
      </w:pPr>
      <w:r>
        <w:rPr>
          <w:lang w:val="en"/>
        </w:rPr>
        <w:t xml:space="preserve">¶11</w:t>
      </w:r>
      <w:r>
        <w:rPr>
          <w:lang w:val="en"/>
        </w:rPr>
        <w:t xml:space="preserve"> </w:t>
      </w:r>
      <w:r>
        <w:rPr>
          <w:bCs/>
          <w:b/>
          <w:lang w:val="en"/>
        </w:rPr>
        <w:t xml:space="preserve">Demographic characteristics</w:t>
      </w:r>
    </w:p>
    <w:p>
      <w:pPr>
        <w:numPr>
          <w:ilvl w:val="0"/>
          <w:numId w:val="1016"/>
        </w:numPr>
        <w:pStyle w:val="Compact"/>
      </w:pPr>
      <w:r>
        <w:rPr>
          <w:lang w:val="en"/>
        </w:rPr>
        <w:t xml:space="preserve">¶12</w:t>
      </w:r>
      <w:r>
        <w:rPr>
          <w:lang w:val="en"/>
        </w:rPr>
        <w:t xml:space="preserve"> </w:t>
      </w:r>
      <w:r>
        <w:rPr>
          <w:lang w:val="en"/>
        </w:rPr>
        <w:t xml:space="preserve">Gender composition (share of women in ocean employment)</w:t>
      </w:r>
    </w:p>
    <w:p>
      <w:pPr>
        <w:numPr>
          <w:ilvl w:val="0"/>
          <w:numId w:val="1016"/>
        </w:numPr>
        <w:pStyle w:val="Compact"/>
      </w:pPr>
      <w:r>
        <w:rPr>
          <w:lang w:val="en"/>
        </w:rPr>
        <w:t xml:space="preserve">¶13</w:t>
      </w:r>
      <w:r>
        <w:rPr>
          <w:lang w:val="en"/>
        </w:rPr>
        <w:t xml:space="preserve"> </w:t>
      </w:r>
      <w:r>
        <w:rPr>
          <w:lang w:val="en"/>
        </w:rPr>
        <w:t xml:space="preserve">Age structure</w:t>
      </w:r>
    </w:p>
    <w:p>
      <w:pPr>
        <w:numPr>
          <w:ilvl w:val="0"/>
          <w:numId w:val="1016"/>
        </w:numPr>
        <w:pStyle w:val="Compact"/>
      </w:pPr>
      <w:r>
        <w:rPr>
          <w:lang w:val="en"/>
        </w:rPr>
        <w:t xml:space="preserve">¶14</w:t>
      </w:r>
      <w:r>
        <w:rPr>
          <w:lang w:val="en"/>
        </w:rPr>
        <w:t xml:space="preserve"> </w:t>
      </w:r>
      <w:r>
        <w:rPr>
          <w:lang w:val="en"/>
        </w:rPr>
        <w:t xml:space="preserve">Educational attainment</w:t>
      </w:r>
    </w:p>
    <w:p>
      <w:pPr>
        <w:numPr>
          <w:ilvl w:val="0"/>
          <w:numId w:val="1016"/>
        </w:numPr>
        <w:pStyle w:val="Compact"/>
      </w:pPr>
      <w:r>
        <w:rPr>
          <w:lang w:val="en"/>
        </w:rPr>
        <w:t xml:space="preserve">¶15</w:t>
      </w:r>
      <w:r>
        <w:rPr>
          <w:lang w:val="en"/>
        </w:rPr>
        <w:t xml:space="preserve"> </w:t>
      </w:r>
      <w:r>
        <w:rPr>
          <w:lang w:val="en"/>
        </w:rPr>
        <w:t xml:space="preserve">Nationality (share of migrant workers)</w:t>
      </w:r>
    </w:p>
    <w:p>
      <w:pPr>
        <w:pStyle w:val="FirstParagraph"/>
      </w:pPr>
      <w:r>
        <w:rPr>
          <w:lang w:val="en"/>
        </w:rPr>
        <w:t xml:space="preserve">¶16</w:t>
      </w:r>
      <w:r>
        <w:rPr>
          <w:lang w:val="en"/>
        </w:rPr>
        <w:t xml:space="preserve"> </w:t>
      </w:r>
      <w:r>
        <w:rPr>
          <w:bCs/>
          <w:b/>
          <w:lang w:val="en"/>
        </w:rPr>
        <w:t xml:space="preserve">Decent work indicators</w:t>
      </w:r>
      <w:r>
        <w:rPr>
          <w:lang w:val="en"/>
        </w:rPr>
        <w:t xml:space="preserve"> </w:t>
      </w:r>
      <w:r>
        <w:rPr>
          <w:lang w:val="en"/>
        </w:rPr>
        <w:t xml:space="preserve">following the ILO Decent Work Measurement Framework</w:t>
      </w:r>
      <w:hyperlink w:anchor="user-content-fn-20">
        <w:r>
          <w:rPr>
            <w:rStyle w:val="Hyperlink"/>
            <w:vertAlign w:val="superscript"/>
            <w:lang w:val="en"/>
          </w:rPr>
          <w:t xml:space="preserve">20</w:t>
        </w:r>
      </w:hyperlink>
      <w:r>
        <w:rPr>
          <w:lang w:val="en"/>
        </w:rPr>
        <w:t xml:space="preserve">:</w:t>
      </w:r>
    </w:p>
    <w:p>
      <w:pPr>
        <w:numPr>
          <w:ilvl w:val="0"/>
          <w:numId w:val="1017"/>
        </w:numPr>
        <w:pStyle w:val="Compact"/>
      </w:pPr>
      <w:r>
        <w:rPr>
          <w:lang w:val="en"/>
        </w:rPr>
        <w:t xml:space="preserve">¶17</w:t>
      </w:r>
      <w:r>
        <w:rPr>
          <w:lang w:val="en"/>
        </w:rPr>
        <w:t xml:space="preserve"> </w:t>
      </w:r>
      <w:r>
        <w:rPr>
          <w:lang w:val="en"/>
        </w:rPr>
        <w:t xml:space="preserve">Share of formal versus informal employment</w:t>
      </w:r>
    </w:p>
    <w:p>
      <w:pPr>
        <w:numPr>
          <w:ilvl w:val="0"/>
          <w:numId w:val="1017"/>
        </w:numPr>
        <w:pStyle w:val="Compact"/>
      </w:pPr>
      <w:r>
        <w:rPr>
          <w:lang w:val="en"/>
        </w:rPr>
        <w:t xml:space="preserve">¶18</w:t>
      </w:r>
      <w:r>
        <w:rPr>
          <w:lang w:val="en"/>
        </w:rPr>
        <w:t xml:space="preserve"> </w:t>
      </w:r>
      <w:r>
        <w:rPr>
          <w:lang w:val="en"/>
        </w:rPr>
        <w:t xml:space="preserve">Wage levels relative to national average</w:t>
      </w:r>
    </w:p>
    <w:p>
      <w:pPr>
        <w:numPr>
          <w:ilvl w:val="0"/>
          <w:numId w:val="1017"/>
        </w:numPr>
        <w:pStyle w:val="Compact"/>
      </w:pPr>
      <w:r>
        <w:rPr>
          <w:lang w:val="en"/>
        </w:rPr>
        <w:t xml:space="preserve">¶19</w:t>
      </w:r>
      <w:r>
        <w:rPr>
          <w:lang w:val="en"/>
        </w:rPr>
        <w:t xml:space="preserve"> </w:t>
      </w:r>
      <w:r>
        <w:rPr>
          <w:lang w:val="en"/>
        </w:rPr>
        <w:t xml:space="preserve">Working conditions indicators</w:t>
      </w:r>
    </w:p>
    <w:p>
      <w:pPr>
        <w:numPr>
          <w:ilvl w:val="0"/>
          <w:numId w:val="1017"/>
        </w:numPr>
        <w:pStyle w:val="Compact"/>
      </w:pPr>
      <w:r>
        <w:rPr>
          <w:lang w:val="en"/>
        </w:rPr>
        <w:t xml:space="preserve">¶20</w:t>
      </w:r>
      <w:r>
        <w:rPr>
          <w:lang w:val="en"/>
        </w:rPr>
        <w:t xml:space="preserve"> </w:t>
      </w:r>
      <w:r>
        <w:rPr>
          <w:lang w:val="en"/>
        </w:rPr>
        <w:t xml:space="preserve">Social protection coverage</w:t>
      </w:r>
    </w:p>
    <w:p>
      <w:pPr>
        <w:pStyle w:val="FirstParagraph"/>
      </w:pPr>
      <w:r>
        <w:rPr>
          <w:lang w:val="en"/>
        </w:rPr>
        <w:t xml:space="preserve">¶21</w:t>
      </w:r>
      <w:r>
        <w:rPr>
          <w:lang w:val="en"/>
        </w:rPr>
        <w:t xml:space="preserve"> </w:t>
      </w:r>
      <w:r>
        <w:rPr>
          <w:lang w:val="en"/>
        </w:rPr>
        <w:t xml:space="preserve">The distinction between formal and informal employment is particularly relevant for small-scale fisheries, where employment is often characterised by own-account work, seasonal or part-time engagement, and limited coverage by labour regulations or social protection schemes. Measuring employment in small-scale fisheries presents methodological challenges: workers may not appear in business registers, labour force surveys may undercount seasonal or part-time fishing activity, and the boundary between subsistence fishing and commercial fishing can be difficult to establish. Compilers should consider supplementing standard data sources with fisheries census data, community-based surveys, and vessel registry information. Employment patterns in aquaculture, including the prevalence of informal and seasonal work in coastal communities, are addressed in</w:t>
      </w:r>
      <w:r>
        <w:rPr>
          <w:lang w:val="en"/>
        </w:rPr>
        <w:t xml:space="preserve"> </w:t>
      </w:r>
      <w:hyperlink r:id="rId118">
        <w:r>
          <w:rPr>
            <w:rStyle w:val="Hyperlink"/>
            <w:bCs/>
            <w:b/>
            <w:lang w:val="en"/>
          </w:rPr>
          <w:t xml:space="preserve">TG-3.9 Aquaculture</w:t>
        </w:r>
      </w:hyperlink>
      <w:r>
        <w:rPr>
          <w:lang w:val="en"/>
        </w:rPr>
        <w:t xml:space="preserve">. The connection between employment data and stock management is discussed in</w:t>
      </w:r>
      <w:r>
        <w:rPr>
          <w:lang w:val="en"/>
        </w:rPr>
        <w:t xml:space="preserve"> </w:t>
      </w:r>
      <w:hyperlink r:id="rId108">
        <w:r>
          <w:rPr>
            <w:rStyle w:val="Hyperlink"/>
            <w:bCs/>
            <w:b/>
            <w:lang w:val="en"/>
          </w:rPr>
          <w:t xml:space="preserve">TG-6.7 Fisheries Accounting: Integrating Stock Assessment</w:t>
        </w:r>
      </w:hyperlink>
      <w:r>
        <w:rPr>
          <w:lang w:val="en"/>
        </w:rPr>
        <w:t xml:space="preserve">.</w:t>
      </w:r>
    </w:p>
    <w:p>
      <w:pPr>
        <w:pStyle w:val="BodyText"/>
      </w:pPr>
      <w:r>
        <w:rPr>
          <w:lang w:val="en"/>
        </w:rPr>
        <w:t xml:space="preserve">¶22</w:t>
      </w:r>
      <w:r>
        <w:rPr>
          <w:lang w:val="en"/>
        </w:rPr>
        <w:t xml:space="preserve"> </w:t>
      </w:r>
      <w:r>
        <w:rPr>
          <w:lang w:val="en"/>
        </w:rPr>
        <w:t xml:space="preserve">Table 3.2 presents employment structure indicators for Country A, populated with synthetic data reflecting typical patterns observed in medium-income coastal states.</w:t>
      </w:r>
    </w:p>
    <w:p>
      <w:pPr>
        <w:pStyle w:val="BodyText"/>
      </w:pPr>
      <w:r>
        <w:rPr>
          <w:lang w:val="en"/>
        </w:rPr>
        <w:t xml:space="preserve">¶23</w:t>
      </w:r>
      <w:r>
        <w:rPr>
          <w:lang w:val="en"/>
        </w:rPr>
        <w:t xml:space="preserve"> </w:t>
      </w:r>
      <w:r>
        <w:rPr>
          <w:bCs/>
          <w:b/>
          <w:lang w:val="en"/>
        </w:rPr>
        <w:t xml:space="preserve">Table 3.2: Ocean economy employment structure (Country A, illustrative)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rPr>
                <w:lang w:val="en"/>
              </w:rPr>
              <w:t xml:space="preserve">Indicator</w:t>
            </w:r>
          </w:p>
        </w:tc>
        <w:tc>
          <w:tcPr/>
          <w:p>
            <w:pPr>
              <w:pStyle w:val="Compact"/>
              <w:jc w:val="left"/>
            </w:pPr>
            <w:r>
              <w:rPr>
                <w:lang w:val="en"/>
              </w:rPr>
              <w:t xml:space="preserve">Marine fishing</w:t>
            </w:r>
          </w:p>
        </w:tc>
        <w:tc>
          <w:tcPr/>
          <w:p>
            <w:pPr>
              <w:pStyle w:val="Compact"/>
              <w:jc w:val="left"/>
            </w:pPr>
            <w:r>
              <w:rPr>
                <w:lang w:val="en"/>
              </w:rPr>
              <w:t xml:space="preserve">Aquaculture</w:t>
            </w:r>
          </w:p>
        </w:tc>
        <w:tc>
          <w:tcPr/>
          <w:p>
            <w:pPr>
              <w:pStyle w:val="Compact"/>
              <w:jc w:val="left"/>
            </w:pPr>
            <w:r>
              <w:rPr>
                <w:lang w:val="en"/>
              </w:rPr>
              <w:t xml:space="preserve">Maritime transport</w:t>
            </w:r>
          </w:p>
        </w:tc>
        <w:tc>
          <w:tcPr/>
          <w:p>
            <w:pPr>
              <w:pStyle w:val="Compact"/>
              <w:jc w:val="left"/>
            </w:pPr>
            <w:r>
              <w:rPr>
                <w:lang w:val="en"/>
              </w:rPr>
              <w:t xml:space="preserve">Offshore energy</w:t>
            </w:r>
          </w:p>
        </w:tc>
        <w:tc>
          <w:tcPr/>
          <w:p>
            <w:pPr>
              <w:pStyle w:val="Compact"/>
              <w:jc w:val="left"/>
            </w:pPr>
            <w:r>
              <w:rPr>
                <w:lang w:val="en"/>
              </w:rPr>
              <w:t xml:space="preserve">Shipbuilding</w:t>
            </w:r>
          </w:p>
        </w:tc>
        <w:tc>
          <w:tcPr/>
          <w:p>
            <w:pPr>
              <w:pStyle w:val="Compact"/>
              <w:jc w:val="left"/>
            </w:pPr>
            <w:r>
              <w:rPr>
                <w:lang w:val="en"/>
              </w:rPr>
              <w:t xml:space="preserve">Coastal tourism</w:t>
            </w:r>
          </w:p>
        </w:tc>
        <w:tc>
          <w:tcPr/>
          <w:p>
            <w:pPr>
              <w:pStyle w:val="Compact"/>
              <w:jc w:val="left"/>
            </w:pPr>
            <w:r>
              <w:rPr>
                <w:lang w:val="en"/>
              </w:rPr>
              <w:t xml:space="preserve">Total ocean</w:t>
            </w:r>
          </w:p>
        </w:tc>
      </w:tr>
      <w:tr>
        <w:tc>
          <w:tcPr/>
          <w:p>
            <w:pPr>
              <w:pStyle w:val="Compact"/>
              <w:jc w:val="left"/>
            </w:pPr>
            <w:r>
              <w:rPr>
                <w:lang w:val="en"/>
              </w:rPr>
              <w:t xml:space="preserve">Persons employed</w:t>
            </w:r>
          </w:p>
        </w:tc>
        <w:tc>
          <w:tcPr/>
          <w:p>
            <w:pPr>
              <w:pStyle w:val="Compact"/>
              <w:jc w:val="left"/>
            </w:pPr>
            <w:r>
              <w:rPr>
                <w:lang w:val="en"/>
              </w:rPr>
              <w:t xml:space="preserve">32,000</w:t>
            </w:r>
          </w:p>
        </w:tc>
        <w:tc>
          <w:tcPr/>
          <w:p>
            <w:pPr>
              <w:pStyle w:val="Compact"/>
              <w:jc w:val="left"/>
            </w:pPr>
            <w:r>
              <w:rPr>
                <w:lang w:val="en"/>
              </w:rPr>
              <w:t xml:space="preserve">22,000</w:t>
            </w:r>
          </w:p>
        </w:tc>
        <w:tc>
          <w:tcPr/>
          <w:p>
            <w:pPr>
              <w:pStyle w:val="Compact"/>
              <w:jc w:val="left"/>
            </w:pPr>
            <w:r>
              <w:rPr>
                <w:lang w:val="en"/>
              </w:rPr>
              <w:t xml:space="preserve">36,000</w:t>
            </w:r>
          </w:p>
        </w:tc>
        <w:tc>
          <w:tcPr/>
          <w:p>
            <w:pPr>
              <w:pStyle w:val="Compact"/>
              <w:jc w:val="left"/>
            </w:pPr>
            <w:r>
              <w:rPr>
                <w:lang w:val="en"/>
              </w:rPr>
              <w:t xml:space="preserve">24,000</w:t>
            </w:r>
          </w:p>
        </w:tc>
        <w:tc>
          <w:tcPr/>
          <w:p>
            <w:pPr>
              <w:pStyle w:val="Compact"/>
              <w:jc w:val="left"/>
            </w:pPr>
            <w:r>
              <w:rPr>
                <w:lang w:val="en"/>
              </w:rPr>
              <w:t xml:space="preserve">18,000</w:t>
            </w:r>
          </w:p>
        </w:tc>
        <w:tc>
          <w:tcPr/>
          <w:p>
            <w:pPr>
              <w:pStyle w:val="Compact"/>
              <w:jc w:val="left"/>
            </w:pPr>
            <w:r>
              <w:rPr>
                <w:lang w:val="en"/>
              </w:rPr>
              <w:t xml:space="preserve">153,000</w:t>
            </w:r>
          </w:p>
        </w:tc>
        <w:tc>
          <w:tcPr/>
          <w:p>
            <w:pPr>
              <w:pStyle w:val="Compact"/>
              <w:jc w:val="left"/>
            </w:pPr>
            <w:r>
              <w:rPr>
                <w:lang w:val="en"/>
              </w:rPr>
              <w:t xml:space="preserve">300,000</w:t>
            </w:r>
          </w:p>
        </w:tc>
      </w:tr>
      <w:tr>
        <w:tc>
          <w:tcPr/>
          <w:p>
            <w:pPr>
              <w:pStyle w:val="Compact"/>
              <w:jc w:val="left"/>
            </w:pPr>
            <w:r>
              <w:rPr>
                <w:lang w:val="en"/>
              </w:rPr>
              <w:t xml:space="preserve">FTE employment</w:t>
            </w:r>
          </w:p>
        </w:tc>
        <w:tc>
          <w:tcPr/>
          <w:p>
            <w:pPr>
              <w:pStyle w:val="Compact"/>
              <w:jc w:val="left"/>
            </w:pPr>
            <w:r>
              <w:rPr>
                <w:lang w:val="en"/>
              </w:rPr>
              <w:t xml:space="preserve">24,000</w:t>
            </w:r>
          </w:p>
        </w:tc>
        <w:tc>
          <w:tcPr/>
          <w:p>
            <w:pPr>
              <w:pStyle w:val="Compact"/>
              <w:jc w:val="left"/>
            </w:pPr>
            <w:r>
              <w:rPr>
                <w:lang w:val="en"/>
              </w:rPr>
              <w:t xml:space="preserve">18,000</w:t>
            </w:r>
          </w:p>
        </w:tc>
        <w:tc>
          <w:tcPr/>
          <w:p>
            <w:pPr>
              <w:pStyle w:val="Compact"/>
              <w:jc w:val="left"/>
            </w:pPr>
            <w:r>
              <w:rPr>
                <w:lang w:val="en"/>
              </w:rPr>
              <w:t xml:space="preserve">35,000</w:t>
            </w:r>
          </w:p>
        </w:tc>
        <w:tc>
          <w:tcPr/>
          <w:p>
            <w:pPr>
              <w:pStyle w:val="Compact"/>
              <w:jc w:val="left"/>
            </w:pPr>
            <w:r>
              <w:rPr>
                <w:lang w:val="en"/>
              </w:rPr>
              <w:t xml:space="preserve">24,000</w:t>
            </w:r>
          </w:p>
        </w:tc>
        <w:tc>
          <w:tcPr/>
          <w:p>
            <w:pPr>
              <w:pStyle w:val="Compact"/>
              <w:jc w:val="left"/>
            </w:pPr>
            <w:r>
              <w:rPr>
                <w:lang w:val="en"/>
              </w:rPr>
              <w:t xml:space="preserve">17,500</w:t>
            </w:r>
          </w:p>
        </w:tc>
        <w:tc>
          <w:tcPr/>
          <w:p>
            <w:pPr>
              <w:pStyle w:val="Compact"/>
              <w:jc w:val="left"/>
            </w:pPr>
            <w:r>
              <w:rPr>
                <w:lang w:val="en"/>
              </w:rPr>
              <w:t xml:space="preserve">120,000</w:t>
            </w:r>
          </w:p>
        </w:tc>
        <w:tc>
          <w:tcPr/>
          <w:p>
            <w:pPr>
              <w:pStyle w:val="Compact"/>
              <w:jc w:val="left"/>
            </w:pPr>
            <w:r>
              <w:rPr>
                <w:lang w:val="en"/>
              </w:rPr>
              <w:t xml:space="preserve">250,000</w:t>
            </w:r>
          </w:p>
        </w:tc>
      </w:tr>
      <w:tr>
        <w:tc>
          <w:tcPr/>
          <w:p>
            <w:pPr>
              <w:pStyle w:val="Compact"/>
              <w:jc w:val="left"/>
            </w:pPr>
            <w:r>
              <w:rPr>
                <w:lang w:val="en"/>
              </w:rPr>
              <w:t xml:space="preserve">Share female (%)</w:t>
            </w:r>
          </w:p>
        </w:tc>
        <w:tc>
          <w:tcPr/>
          <w:p>
            <w:pPr>
              <w:pStyle w:val="Compact"/>
              <w:jc w:val="left"/>
            </w:pPr>
            <w:r>
              <w:rPr>
                <w:lang w:val="en"/>
              </w:rPr>
              <w:t xml:space="preserve">15</w:t>
            </w:r>
          </w:p>
        </w:tc>
        <w:tc>
          <w:tcPr/>
          <w:p>
            <w:pPr>
              <w:pStyle w:val="Compact"/>
              <w:jc w:val="left"/>
            </w:pPr>
            <w:r>
              <w:rPr>
                <w:lang w:val="en"/>
              </w:rPr>
              <w:t xml:space="preserve">35</w:t>
            </w:r>
          </w:p>
        </w:tc>
        <w:tc>
          <w:tcPr/>
          <w:p>
            <w:pPr>
              <w:pStyle w:val="Compact"/>
              <w:jc w:val="left"/>
            </w:pPr>
            <w:r>
              <w:rPr>
                <w:lang w:val="en"/>
              </w:rPr>
              <w:t xml:space="preserve">12</w:t>
            </w:r>
          </w:p>
        </w:tc>
        <w:tc>
          <w:tcPr/>
          <w:p>
            <w:pPr>
              <w:pStyle w:val="Compact"/>
              <w:jc w:val="left"/>
            </w:pPr>
            <w:r>
              <w:rPr>
                <w:lang w:val="en"/>
              </w:rPr>
              <w:t xml:space="preserve">15</w:t>
            </w:r>
          </w:p>
        </w:tc>
        <w:tc>
          <w:tcPr/>
          <w:p>
            <w:pPr>
              <w:pStyle w:val="Compact"/>
              <w:jc w:val="left"/>
            </w:pPr>
            <w:r>
              <w:rPr>
                <w:lang w:val="en"/>
              </w:rPr>
              <w:t xml:space="preserve">8</w:t>
            </w:r>
          </w:p>
        </w:tc>
        <w:tc>
          <w:tcPr/>
          <w:p>
            <w:pPr>
              <w:pStyle w:val="Compact"/>
              <w:jc w:val="left"/>
            </w:pPr>
            <w:r>
              <w:rPr>
                <w:lang w:val="en"/>
              </w:rPr>
              <w:t xml:space="preserve">55</w:t>
            </w:r>
          </w:p>
        </w:tc>
        <w:tc>
          <w:tcPr/>
          <w:p>
            <w:pPr>
              <w:pStyle w:val="Compact"/>
              <w:jc w:val="left"/>
            </w:pPr>
            <w:r>
              <w:rPr>
                <w:lang w:val="en"/>
              </w:rPr>
              <w:t xml:space="preserve">38</w:t>
            </w:r>
          </w:p>
        </w:tc>
      </w:tr>
      <w:tr>
        <w:tc>
          <w:tcPr/>
          <w:p>
            <w:pPr>
              <w:pStyle w:val="Compact"/>
              <w:jc w:val="left"/>
            </w:pPr>
            <w:r>
              <w:rPr>
                <w:lang w:val="en"/>
              </w:rPr>
              <w:t xml:space="preserve">Share youth &lt;25 (%)</w:t>
            </w:r>
          </w:p>
        </w:tc>
        <w:tc>
          <w:tcPr/>
          <w:p>
            <w:pPr>
              <w:pStyle w:val="Compact"/>
              <w:jc w:val="left"/>
            </w:pPr>
            <w:r>
              <w:rPr>
                <w:lang w:val="en"/>
              </w:rPr>
              <w:t xml:space="preserve">22</w:t>
            </w:r>
          </w:p>
        </w:tc>
        <w:tc>
          <w:tcPr/>
          <w:p>
            <w:pPr>
              <w:pStyle w:val="Compact"/>
              <w:jc w:val="left"/>
            </w:pPr>
            <w:r>
              <w:rPr>
                <w:lang w:val="en"/>
              </w:rPr>
              <w:t xml:space="preserve">28</w:t>
            </w:r>
          </w:p>
        </w:tc>
        <w:tc>
          <w:tcPr/>
          <w:p>
            <w:pPr>
              <w:pStyle w:val="Compact"/>
              <w:jc w:val="left"/>
            </w:pPr>
            <w:r>
              <w:rPr>
                <w:lang w:val="en"/>
              </w:rPr>
              <w:t xml:space="preserve">15</w:t>
            </w:r>
          </w:p>
        </w:tc>
        <w:tc>
          <w:tcPr/>
          <w:p>
            <w:pPr>
              <w:pStyle w:val="Compact"/>
              <w:jc w:val="left"/>
            </w:pPr>
            <w:r>
              <w:rPr>
                <w:lang w:val="en"/>
              </w:rPr>
              <w:t xml:space="preserve">10</w:t>
            </w:r>
          </w:p>
        </w:tc>
        <w:tc>
          <w:tcPr/>
          <w:p>
            <w:pPr>
              <w:pStyle w:val="Compact"/>
              <w:jc w:val="left"/>
            </w:pPr>
            <w:r>
              <w:rPr>
                <w:lang w:val="en"/>
              </w:rPr>
              <w:t xml:space="preserve">18</w:t>
            </w:r>
          </w:p>
        </w:tc>
        <w:tc>
          <w:tcPr/>
          <w:p>
            <w:pPr>
              <w:pStyle w:val="Compact"/>
              <w:jc w:val="left"/>
            </w:pPr>
            <w:r>
              <w:rPr>
                <w:lang w:val="en"/>
              </w:rPr>
              <w:t xml:space="preserve">35</w:t>
            </w:r>
          </w:p>
        </w:tc>
        <w:tc>
          <w:tcPr/>
          <w:p>
            <w:pPr>
              <w:pStyle w:val="Compact"/>
              <w:jc w:val="left"/>
            </w:pPr>
            <w:r>
              <w:rPr>
                <w:lang w:val="en"/>
              </w:rPr>
              <w:t xml:space="preserve">26</w:t>
            </w:r>
          </w:p>
        </w:tc>
      </w:tr>
      <w:tr>
        <w:tc>
          <w:tcPr/>
          <w:p>
            <w:pPr>
              <w:pStyle w:val="Compact"/>
              <w:jc w:val="left"/>
            </w:pPr>
            <w:r>
              <w:rPr>
                <w:lang w:val="en"/>
              </w:rPr>
              <w:t xml:space="preserve">Share informal (%)</w:t>
            </w:r>
          </w:p>
        </w:tc>
        <w:tc>
          <w:tcPr/>
          <w:p>
            <w:pPr>
              <w:pStyle w:val="Compact"/>
              <w:jc w:val="left"/>
            </w:pPr>
            <w:r>
              <w:rPr>
                <w:lang w:val="en"/>
              </w:rPr>
              <w:t xml:space="preserve">60</w:t>
            </w:r>
          </w:p>
        </w:tc>
        <w:tc>
          <w:tcPr/>
          <w:p>
            <w:pPr>
              <w:pStyle w:val="Compact"/>
              <w:jc w:val="left"/>
            </w:pPr>
            <w:r>
              <w:rPr>
                <w:lang w:val="en"/>
              </w:rPr>
              <w:t xml:space="preserve">40</w:t>
            </w:r>
          </w:p>
        </w:tc>
        <w:tc>
          <w:tcPr/>
          <w:p>
            <w:pPr>
              <w:pStyle w:val="Compact"/>
              <w:jc w:val="left"/>
            </w:pPr>
            <w:r>
              <w:rPr>
                <w:lang w:val="en"/>
              </w:rPr>
              <w:t xml:space="preserve">5</w:t>
            </w:r>
          </w:p>
        </w:tc>
        <w:tc>
          <w:tcPr/>
          <w:p>
            <w:pPr>
              <w:pStyle w:val="Compact"/>
              <w:jc w:val="left"/>
            </w:pPr>
            <w:r>
              <w:rPr>
                <w:lang w:val="en"/>
              </w:rPr>
              <w:t xml:space="preserve">2</w:t>
            </w:r>
          </w:p>
        </w:tc>
        <w:tc>
          <w:tcPr/>
          <w:p>
            <w:pPr>
              <w:pStyle w:val="Compact"/>
              <w:jc w:val="left"/>
            </w:pPr>
            <w:r>
              <w:rPr>
                <w:lang w:val="en"/>
              </w:rPr>
              <w:t xml:space="preserve">5</w:t>
            </w:r>
          </w:p>
        </w:tc>
        <w:tc>
          <w:tcPr/>
          <w:p>
            <w:pPr>
              <w:pStyle w:val="Compact"/>
              <w:jc w:val="left"/>
            </w:pPr>
            <w:r>
              <w:rPr>
                <w:lang w:val="en"/>
              </w:rPr>
              <w:t xml:space="preserve">30</w:t>
            </w:r>
          </w:p>
        </w:tc>
        <w:tc>
          <w:tcPr/>
          <w:p>
            <w:pPr>
              <w:pStyle w:val="Compact"/>
              <w:jc w:val="left"/>
            </w:pPr>
            <w:r>
              <w:rPr>
                <w:lang w:val="en"/>
              </w:rPr>
              <w:t xml:space="preserve">28</w:t>
            </w:r>
          </w:p>
        </w:tc>
      </w:tr>
      <w:tr>
        <w:tc>
          <w:tcPr/>
          <w:p>
            <w:pPr>
              <w:pStyle w:val="Compact"/>
              <w:jc w:val="left"/>
            </w:pPr>
            <w:r>
              <w:rPr>
                <w:lang w:val="en"/>
              </w:rPr>
              <w:t xml:space="preserve">Avg. wage (USD/month)</w:t>
            </w:r>
          </w:p>
        </w:tc>
        <w:tc>
          <w:tcPr/>
          <w:p>
            <w:pPr>
              <w:pStyle w:val="Compact"/>
              <w:jc w:val="left"/>
            </w:pPr>
            <w:r>
              <w:rPr>
                <w:lang w:val="en"/>
              </w:rPr>
              <w:t xml:space="preserve">280</w:t>
            </w:r>
          </w:p>
        </w:tc>
        <w:tc>
          <w:tcPr/>
          <w:p>
            <w:pPr>
              <w:pStyle w:val="Compact"/>
              <w:jc w:val="left"/>
            </w:pPr>
            <w:r>
              <w:rPr>
                <w:lang w:val="en"/>
              </w:rPr>
              <w:t xml:space="preserve">320</w:t>
            </w:r>
          </w:p>
        </w:tc>
        <w:tc>
          <w:tcPr/>
          <w:p>
            <w:pPr>
              <w:pStyle w:val="Compact"/>
              <w:jc w:val="left"/>
            </w:pPr>
            <w:r>
              <w:rPr>
                <w:lang w:val="en"/>
              </w:rPr>
              <w:t xml:space="preserve">750</w:t>
            </w:r>
          </w:p>
        </w:tc>
        <w:tc>
          <w:tcPr/>
          <w:p>
            <w:pPr>
              <w:pStyle w:val="Compact"/>
              <w:jc w:val="left"/>
            </w:pPr>
            <w:r>
              <w:rPr>
                <w:lang w:val="en"/>
              </w:rPr>
              <w:t xml:space="preserve">2,800</w:t>
            </w:r>
          </w:p>
        </w:tc>
        <w:tc>
          <w:tcPr/>
          <w:p>
            <w:pPr>
              <w:pStyle w:val="Compact"/>
              <w:jc w:val="left"/>
            </w:pPr>
            <w:r>
              <w:rPr>
                <w:lang w:val="en"/>
              </w:rPr>
              <w:t xml:space="preserve">680</w:t>
            </w:r>
          </w:p>
        </w:tc>
        <w:tc>
          <w:tcPr/>
          <w:p>
            <w:pPr>
              <w:pStyle w:val="Compact"/>
              <w:jc w:val="left"/>
            </w:pPr>
            <w:r>
              <w:rPr>
                <w:lang w:val="en"/>
              </w:rPr>
              <w:t xml:space="preserve">350</w:t>
            </w:r>
          </w:p>
        </w:tc>
        <w:tc>
          <w:tcPr/>
          <w:p>
            <w:pPr>
              <w:pStyle w:val="Compact"/>
              <w:jc w:val="left"/>
            </w:pPr>
            <w:r>
              <w:rPr>
                <w:lang w:val="en"/>
              </w:rPr>
              <w:t xml:space="preserve">490</w:t>
            </w:r>
          </w:p>
        </w:tc>
      </w:tr>
      <w:tr>
        <w:tc>
          <w:tcPr/>
          <w:p>
            <w:pPr>
              <w:pStyle w:val="Compact"/>
              <w:jc w:val="left"/>
            </w:pPr>
            <w:r>
              <w:rPr>
                <w:lang w:val="en"/>
              </w:rPr>
              <w:t xml:space="preserve">Productivity index (economy = 100)</w:t>
            </w:r>
          </w:p>
        </w:tc>
        <w:tc>
          <w:tcPr/>
          <w:p>
            <w:pPr>
              <w:pStyle w:val="Compact"/>
              <w:jc w:val="left"/>
            </w:pPr>
            <w:r>
              <w:rPr>
                <w:lang w:val="en"/>
              </w:rPr>
              <w:t xml:space="preserve">55</w:t>
            </w:r>
          </w:p>
        </w:tc>
        <w:tc>
          <w:tcPr/>
          <w:p>
            <w:pPr>
              <w:pStyle w:val="Compact"/>
              <w:jc w:val="left"/>
            </w:pPr>
            <w:r>
              <w:rPr>
                <w:lang w:val="en"/>
              </w:rPr>
              <w:t xml:space="preserve">55</w:t>
            </w:r>
          </w:p>
        </w:tc>
        <w:tc>
          <w:tcPr/>
          <w:p>
            <w:pPr>
              <w:pStyle w:val="Compact"/>
              <w:jc w:val="left"/>
            </w:pPr>
            <w:r>
              <w:rPr>
                <w:lang w:val="en"/>
              </w:rPr>
              <w:t xml:space="preserve">180</w:t>
            </w:r>
          </w:p>
        </w:tc>
        <w:tc>
          <w:tcPr/>
          <w:p>
            <w:pPr>
              <w:pStyle w:val="Compact"/>
              <w:jc w:val="left"/>
            </w:pPr>
            <w:r>
              <w:rPr>
                <w:lang w:val="en"/>
              </w:rPr>
              <w:t xml:space="preserve">350</w:t>
            </w:r>
          </w:p>
        </w:tc>
        <w:tc>
          <w:tcPr/>
          <w:p>
            <w:pPr>
              <w:pStyle w:val="Compact"/>
              <w:jc w:val="left"/>
            </w:pPr>
            <w:r>
              <w:rPr>
                <w:lang w:val="en"/>
              </w:rPr>
              <w:t xml:space="preserve">120</w:t>
            </w:r>
          </w:p>
        </w:tc>
        <w:tc>
          <w:tcPr/>
          <w:p>
            <w:pPr>
              <w:pStyle w:val="Compact"/>
              <w:jc w:val="left"/>
            </w:pPr>
            <w:r>
              <w:rPr>
                <w:lang w:val="en"/>
              </w:rPr>
              <w:t xml:space="preserve">65</w:t>
            </w:r>
          </w:p>
        </w:tc>
        <w:tc>
          <w:tcPr/>
          <w:p>
            <w:pPr>
              <w:pStyle w:val="Compact"/>
              <w:jc w:val="left"/>
            </w:pPr>
            <w:r>
              <w:rPr>
                <w:lang w:val="en"/>
              </w:rPr>
              <w:t xml:space="preserve">117</w:t>
            </w:r>
          </w:p>
        </w:tc>
      </w:tr>
    </w:tbl>
    <w:p>
      <w:pPr>
        <w:pStyle w:val="BodyText"/>
      </w:pPr>
      <w:r>
        <w:rPr>
          <w:lang w:val="en"/>
        </w:rPr>
        <w:t xml:space="preserve">¶24</w:t>
      </w:r>
      <w:r>
        <w:rPr>
          <w:lang w:val="en"/>
        </w:rPr>
        <w:t xml:space="preserve"> </w:t>
      </w:r>
      <w:r>
        <w:rPr>
          <w:iCs/>
          <w:i/>
          <w:lang w:val="en"/>
        </w:rPr>
        <w:t xml:space="preserve">The Total ocean column covers all seven industries in Table 3.1. Marine renewable energy (6,000 persons) and other ocean industries (9,000 persons) are not shown as columns, so the six columns sum to 285,000 persons and 238,500 FTE; the remaining 15,000 persons and 11,500 FTE belong to those two industries. Marine fishing and aquaculture together make up marine living resources in Table 3.1 (54,000 persons).</w:t>
      </w:r>
    </w:p>
    <w:p>
      <w:pPr>
        <w:pStyle w:val="BodyText"/>
      </w:pPr>
      <w:r>
        <w:rPr>
          <w:lang w:val="en"/>
        </w:rPr>
        <w:t xml:space="preserve">¶25</w:t>
      </w:r>
      <w:r>
        <w:rPr>
          <w:lang w:val="en"/>
        </w:rPr>
        <w:t xml:space="preserve"> </w:t>
      </w:r>
      <w:r>
        <w:rPr>
          <w:lang w:val="en"/>
        </w:rPr>
        <w:t xml:space="preserve">Marine fishing exhibits the highest informality rate (60 per cent) and the lowest female participation (15 per cent), consistent with the artisanal and small-scale character of much of the sector. Coastal tourism is the largest employer by a substantial margin (153,000 persons, or 51 per cent of ocean employment), but it has the highest rate of part-time and seasonal work, as reflected in the gap between persons employed and FTE employment. Offshore energy employs relatively few workers (24,000 persons) but generates the highest wages and highest productivity index (350), reflecting the capital-intensive nature of offshore oil, gas, and wind operations. These patterns inform workforce development policies, gender mainstreaming strategies, and social protection design for ocean-dependent communities.</w:t>
      </w:r>
    </w:p>
    <w:bookmarkStart w:id="121" w:name="spatial-distribution-of-employment"/>
    <w:p>
      <w:pPr>
        <w:pStyle w:val="Heading4"/>
      </w:pPr>
      <w:r>
        <w:rPr>
          <w:lang w:val="en"/>
        </w:rPr>
        <w:t xml:space="preserve">Spatial distribution of employment</w:t>
      </w:r>
    </w:p>
    <w:p>
      <w:pPr>
        <w:pStyle w:val="FirstParagraph"/>
      </w:pPr>
      <w:hyperlink w:anchor="spatial-distribution-of-employment">
        <w:r>
          <w:drawing>
            <wp:inline>
              <wp:extent cx="152400" cy="152400"/>
              <wp:effectExtent b="0" l="0" r="0" t="0"/>
              <wp:docPr descr="" title="" id="11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“Spatial distribution of employment”</w:t>
        </w:r>
      </w:hyperlink>
    </w:p>
    <w:bookmarkEnd w:id="121"/>
    <w:p>
      <w:pPr>
        <w:pStyle w:val="BodyText"/>
      </w:pPr>
      <w:r>
        <w:rPr>
          <w:lang w:val="en"/>
        </w:rPr>
        <w:t xml:space="preserve">¶1</w:t>
      </w:r>
      <w:r>
        <w:rPr>
          <w:lang w:val="en"/>
        </w:rPr>
        <w:t xml:space="preserve"> </w:t>
      </w:r>
      <w:r>
        <w:rPr>
          <w:lang w:val="en"/>
        </w:rPr>
        <w:t xml:space="preserve">Spatial analysis of ocean employment reveals regional concentration, coastal community dependence, and commuting patterns between coastal and inland areas. This spatial dimension connects to livelihood dependency analysis in</w:t>
      </w:r>
      <w:r>
        <w:rPr>
          <w:lang w:val="en"/>
        </w:rPr>
        <w:t xml:space="preserve"> </w:t>
      </w:r>
      <w:hyperlink r:id="rId122">
        <w:r>
          <w:rPr>
            <w:rStyle w:val="Hyperlink"/>
            <w:bCs/>
            <w:b/>
            <w:lang w:val="en"/>
          </w:rPr>
          <w:t xml:space="preserve">TG-2.3 Livelihood Dependencies</w:t>
        </w:r>
      </w:hyperlink>
      <w:r>
        <w:rPr>
          <w:lang w:val="en"/>
        </w:rPr>
        <w:t xml:space="preserve">.</w:t>
      </w:r>
    </w:p>
    <w:bookmarkStart w:id="125" w:name="X29e0de1ed55296df459e538abe461ecd8a1e6d2"/>
    <w:p>
      <w:pPr>
        <w:pStyle w:val="Heading3"/>
      </w:pPr>
      <w:r>
        <w:rPr>
          <w:lang w:val="en"/>
        </w:rPr>
        <w:t xml:space="preserve">3.6</w:t>
      </w:r>
      <w:r>
        <w:rPr>
          <w:lang w:val="en"/>
        </w:rPr>
        <w:t xml:space="preserve"> </w:t>
      </w:r>
      <w:r>
        <w:rPr>
          <w:lang w:val="en"/>
        </w:rPr>
        <w:t xml:space="preserve">Trade and Investment Indicators</w:t>
      </w:r>
    </w:p>
    <w:p>
      <w:pPr>
        <w:pStyle w:val="FirstParagraph"/>
      </w:pPr>
      <w:hyperlink w:anchor="X29e0de1ed55296df459e538abe461ecd8a1e6d2">
        <w:r>
          <w:drawing>
            <wp:inline>
              <wp:extent cx="152400" cy="152400"/>
              <wp:effectExtent b="0" l="0" r="0" t="0"/>
              <wp:docPr descr="" title="" id="12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Trade and Investment Indicators”</w:t>
        </w:r>
      </w:hyperlink>
    </w:p>
    <w:bookmarkEnd w:id="125"/>
    <w:p>
      <w:pPr>
        <w:pStyle w:val="BodyText"/>
      </w:pPr>
      <w:r>
        <w:rPr>
          <w:lang w:val="en"/>
        </w:rPr>
        <w:t xml:space="preserve">¶1</w:t>
      </w:r>
      <w:r>
        <w:rPr>
          <w:lang w:val="en"/>
        </w:rPr>
        <w:t xml:space="preserve"> </w:t>
      </w:r>
      <w:r>
        <w:rPr>
          <w:lang w:val="en"/>
        </w:rPr>
        <w:t xml:space="preserve">Trade and investment indicators reveal the ocean economy’s external orientation and its capacity for growth through capital accumulation.</w:t>
      </w:r>
    </w:p>
    <w:bookmarkStart w:id="128" w:name="trade-indicators"/>
    <w:p>
      <w:pPr>
        <w:pStyle w:val="Heading4"/>
      </w:pPr>
      <w:r>
        <w:rPr>
          <w:lang w:val="en"/>
        </w:rPr>
        <w:t xml:space="preserve">Trade indicators</w:t>
      </w:r>
    </w:p>
    <w:p>
      <w:pPr>
        <w:pStyle w:val="FirstParagraph"/>
      </w:pPr>
      <w:hyperlink w:anchor="trade-indicators">
        <w:r>
          <w:drawing>
            <wp:inline>
              <wp:extent cx="152400" cy="152400"/>
              <wp:effectExtent b="0" l="0" r="0" t="0"/>
              <wp:docPr descr="" title="" id="12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“Trade indicators”</w:t>
        </w:r>
      </w:hyperlink>
    </w:p>
    <w:bookmarkEnd w:id="128"/>
    <w:p>
      <w:pPr>
        <w:pStyle w:val="BodyText"/>
      </w:pPr>
      <w:r>
        <w:rPr>
          <w:lang w:val="en"/>
        </w:rPr>
        <w:t xml:space="preserve">¶1</w:t>
      </w:r>
      <w:r>
        <w:rPr>
          <w:lang w:val="en"/>
        </w:rPr>
        <w:t xml:space="preserve"> </w:t>
      </w:r>
      <w:r>
        <w:rPr>
          <w:bCs/>
          <w:b/>
          <w:lang w:val="en"/>
        </w:rPr>
        <w:t xml:space="preserve">Ocean economy exports</w:t>
      </w:r>
      <w:r>
        <w:rPr>
          <w:lang w:val="en"/>
        </w:rPr>
        <w:t xml:space="preserve"> </w:t>
      </w:r>
      <m:oMathPara>
        <m:oMathParaPr>
          <m:jc m:val="center"/>
        </m:oMathParaPr>
        <m:oMath>
          <m:r>
            <m:rPr>
              <m:nor/>
              <m:sty m:val="p"/>
            </m:rPr>
            <m:t>Export share</m:t>
          </m:r>
          <m:r>
            <m:rPr>
              <m:sty m:val="p"/>
            </m:rPr>
            <m:t>=</m:t>
          </m:r>
          <m:f>
            <m:fPr>
              <m:type m:val="bar"/>
            </m:fPr>
            <m:num>
              <m:r>
                <m:rPr>
                  <m:nor/>
                  <m:sty m:val="p"/>
                </m:rPr>
                <m:t>Exports of ocean products</m:t>
              </m:r>
            </m:num>
            <m:den>
              <m:r>
                <m:rPr>
                  <m:nor/>
                  <m:sty m:val="p"/>
                </m:rPr>
                <m:t>Total national exports</m:t>
              </m:r>
            </m:den>
          </m:f>
          <m:r>
            <m:rPr>
              <m:sty m:val="p"/>
            </m:rPr>
            <m:t>×</m:t>
          </m:r>
          <m:r>
            <m:t>100</m:t>
          </m:r>
        </m:oMath>
      </m:oMathPara>
      <w:r>
        <w:rPr>
          <w:lang w:val="en"/>
        </w:rPr>
        <w:t xml:space="preserve">Export share</w:t>
      </w:r>
      <w:r>
        <w:rPr>
          <w:lang w:val="en"/>
        </w:rPr>
        <w:t xml:space="preserve">=</w:t>
      </w:r>
      <w:r>
        <w:rPr>
          <w:lang w:val="en"/>
        </w:rPr>
        <w:t xml:space="preserve">Total national exports</w:t>
      </w:r>
      <w:r>
        <w:rPr>
          <w:lang w:val="en"/>
        </w:rPr>
        <w:t xml:space="preserve">Exports of ocean products</w:t>
      </w:r>
      <w:r>
        <w:rPr>
          <w:lang w:val="en"/>
        </w:rPr>
        <w:t xml:space="preserve">​</w:t>
      </w:r>
      <w:r>
        <w:rPr>
          <w:lang w:val="en"/>
        </w:rPr>
        <w:t xml:space="preserve">×</w:t>
      </w:r>
      <w:r>
        <w:rPr>
          <w:lang w:val="en"/>
        </w:rPr>
        <w:t xml:space="preserve">100</w:t>
      </w:r>
    </w:p>
    <w:p>
      <w:pPr>
        <w:pStyle w:val="FirstParagraph"/>
      </w:pPr>
      <w:r>
        <w:rPr>
          <w:lang w:val="en"/>
        </w:rPr>
        <w:t xml:space="preserve">¶2</w:t>
      </w:r>
      <w:r>
        <w:rPr>
          <w:lang w:val="en"/>
        </w:rPr>
        <w:t xml:space="preserve"> </w:t>
      </w:r>
      <w:r>
        <w:rPr>
          <w:lang w:val="en"/>
        </w:rPr>
        <w:t xml:space="preserve">Ocean exports include:</w:t>
      </w:r>
    </w:p>
    <w:p>
      <w:pPr>
        <w:numPr>
          <w:ilvl w:val="0"/>
          <w:numId w:val="1018"/>
        </w:numPr>
        <w:pStyle w:val="Compact"/>
      </w:pPr>
      <w:r>
        <w:rPr>
          <w:lang w:val="en"/>
        </w:rPr>
        <w:t xml:space="preserve">¶3</w:t>
      </w:r>
      <w:r>
        <w:rPr>
          <w:lang w:val="en"/>
        </w:rPr>
        <w:t xml:space="preserve"> </w:t>
      </w:r>
      <w:r>
        <w:rPr>
          <w:lang w:val="en"/>
        </w:rPr>
        <w:t xml:space="preserve">Fish and fishery products</w:t>
      </w:r>
    </w:p>
    <w:p>
      <w:pPr>
        <w:numPr>
          <w:ilvl w:val="0"/>
          <w:numId w:val="1018"/>
        </w:numPr>
        <w:pStyle w:val="Compact"/>
      </w:pPr>
      <w:r>
        <w:rPr>
          <w:lang w:val="en"/>
        </w:rPr>
        <w:t xml:space="preserve">¶4</w:t>
      </w:r>
      <w:r>
        <w:rPr>
          <w:lang w:val="en"/>
        </w:rPr>
        <w:t xml:space="preserve"> </w:t>
      </w:r>
      <w:r>
        <w:rPr>
          <w:lang w:val="en"/>
        </w:rPr>
        <w:t xml:space="preserve">Maritime transport services</w:t>
      </w:r>
    </w:p>
    <w:p>
      <w:pPr>
        <w:numPr>
          <w:ilvl w:val="0"/>
          <w:numId w:val="1018"/>
        </w:numPr>
        <w:pStyle w:val="Compact"/>
      </w:pPr>
      <w:r>
        <w:rPr>
          <w:lang w:val="en"/>
        </w:rPr>
        <w:t xml:space="preserve">¶5</w:t>
      </w:r>
      <w:r>
        <w:rPr>
          <w:lang w:val="en"/>
        </w:rPr>
        <w:t xml:space="preserve"> </w:t>
      </w:r>
      <w:r>
        <w:rPr>
          <w:lang w:val="en"/>
        </w:rPr>
        <w:t xml:space="preserve">Offshore oil and gas (where applicable)</w:t>
      </w:r>
    </w:p>
    <w:p>
      <w:pPr>
        <w:numPr>
          <w:ilvl w:val="0"/>
          <w:numId w:val="1018"/>
        </w:numPr>
        <w:pStyle w:val="Compact"/>
      </w:pPr>
      <w:r>
        <w:rPr>
          <w:lang w:val="en"/>
        </w:rPr>
        <w:t xml:space="preserve">¶6</w:t>
      </w:r>
      <w:r>
        <w:rPr>
          <w:lang w:val="en"/>
        </w:rPr>
        <w:t xml:space="preserve"> </w:t>
      </w:r>
      <w:r>
        <w:rPr>
          <w:lang w:val="en"/>
        </w:rPr>
        <w:t xml:space="preserve">Cruise and marine tourism receipts</w:t>
      </w:r>
    </w:p>
    <w:p>
      <w:pPr>
        <w:numPr>
          <w:ilvl w:val="0"/>
          <w:numId w:val="1018"/>
        </w:numPr>
        <w:pStyle w:val="Compact"/>
      </w:pPr>
      <w:r>
        <w:rPr>
          <w:lang w:val="en"/>
        </w:rPr>
        <w:t xml:space="preserve">¶7</w:t>
      </w:r>
      <w:r>
        <w:rPr>
          <w:lang w:val="en"/>
        </w:rPr>
        <w:t xml:space="preserve"> </w:t>
      </w:r>
      <w:r>
        <w:rPr>
          <w:lang w:val="en"/>
        </w:rPr>
        <w:t xml:space="preserve">Ship repair services</w:t>
      </w:r>
    </w:p>
    <w:p>
      <w:pPr>
        <w:pStyle w:val="FirstParagraph"/>
      </w:pPr>
      <w:r>
        <w:rPr>
          <w:lang w:val="en"/>
        </w:rPr>
        <w:t xml:space="preserve">¶8</w:t>
      </w:r>
      <w:r>
        <w:rPr>
          <w:lang w:val="en"/>
        </w:rPr>
        <w:t xml:space="preserve"> </w:t>
      </w:r>
      <w:r>
        <w:rPr>
          <w:bCs/>
          <w:b/>
          <w:lang w:val="en"/>
        </w:rPr>
        <w:t xml:space="preserve">Ocean economy imports</w:t>
      </w:r>
      <w:r>
        <w:rPr>
          <w:lang w:val="en"/>
        </w:rPr>
        <w:t xml:space="preserve"> </w:t>
      </w:r>
      <w:r>
        <w:rPr>
          <w:lang w:val="en"/>
        </w:rPr>
        <w:t xml:space="preserve">— imports of ocean-characteristic products, including:</w:t>
      </w:r>
    </w:p>
    <w:p>
      <w:pPr>
        <w:numPr>
          <w:ilvl w:val="0"/>
          <w:numId w:val="1019"/>
        </w:numPr>
        <w:pStyle w:val="Compact"/>
      </w:pPr>
      <w:r>
        <w:rPr>
          <w:lang w:val="en"/>
        </w:rPr>
        <w:t xml:space="preserve">¶9</w:t>
      </w:r>
      <w:r>
        <w:rPr>
          <w:lang w:val="en"/>
        </w:rPr>
        <w:t xml:space="preserve"> </w:t>
      </w:r>
      <w:r>
        <w:rPr>
          <w:lang w:val="en"/>
        </w:rPr>
        <w:t xml:space="preserve">Fishing vessels and equipment</w:t>
      </w:r>
    </w:p>
    <w:p>
      <w:pPr>
        <w:numPr>
          <w:ilvl w:val="0"/>
          <w:numId w:val="1019"/>
        </w:numPr>
        <w:pStyle w:val="Compact"/>
      </w:pPr>
      <w:r>
        <w:rPr>
          <w:lang w:val="en"/>
        </w:rPr>
        <w:t xml:space="preserve">¶10</w:t>
      </w:r>
      <w:r>
        <w:rPr>
          <w:lang w:val="en"/>
        </w:rPr>
        <w:t xml:space="preserve"> </w:t>
      </w:r>
      <w:r>
        <w:rPr>
          <w:lang w:val="en"/>
        </w:rPr>
        <w:t xml:space="preserve">Maritime transport services (freight payments)</w:t>
      </w:r>
    </w:p>
    <w:p>
      <w:pPr>
        <w:numPr>
          <w:ilvl w:val="0"/>
          <w:numId w:val="1019"/>
        </w:numPr>
        <w:pStyle w:val="Compact"/>
      </w:pPr>
      <w:r>
        <w:rPr>
          <w:lang w:val="en"/>
        </w:rPr>
        <w:t xml:space="preserve">¶11</w:t>
      </w:r>
      <w:r>
        <w:rPr>
          <w:lang w:val="en"/>
        </w:rPr>
        <w:t xml:space="preserve"> </w:t>
      </w:r>
      <w:r>
        <w:rPr>
          <w:lang w:val="en"/>
        </w:rPr>
        <w:t xml:space="preserve">Offshore drilling equipment</w:t>
      </w:r>
    </w:p>
    <w:p>
      <w:pPr>
        <w:numPr>
          <w:ilvl w:val="0"/>
          <w:numId w:val="1019"/>
        </w:numPr>
        <w:pStyle w:val="Compact"/>
      </w:pPr>
      <w:r>
        <w:rPr>
          <w:lang w:val="en"/>
        </w:rPr>
        <w:t xml:space="preserve">¶12</w:t>
      </w:r>
      <w:r>
        <w:rPr>
          <w:lang w:val="en"/>
        </w:rPr>
        <w:t xml:space="preserve"> </w:t>
      </w:r>
      <w:r>
        <w:rPr>
          <w:lang w:val="en"/>
        </w:rPr>
        <w:t xml:space="preserve">Imported fish for processing</w:t>
      </w:r>
    </w:p>
    <w:p>
      <w:pPr>
        <w:pStyle w:val="FirstParagraph"/>
      </w:pPr>
      <w:r>
        <w:rPr>
          <w:lang w:val="en"/>
        </w:rPr>
        <w:t xml:space="preserve">¶13</w:t>
      </w:r>
      <w:r>
        <w:rPr>
          <w:lang w:val="en"/>
        </w:rPr>
        <w:t xml:space="preserve"> </w:t>
      </w:r>
      <w:r>
        <w:rPr>
          <w:bCs/>
          <w:b/>
          <w:lang w:val="en"/>
        </w:rPr>
        <w:t xml:space="preserve">Trade balance for ocean economy</w:t>
      </w:r>
      <w:r>
        <w:rPr>
          <w:lang w:val="en"/>
        </w:rPr>
        <w:t xml:space="preserve"> </w:t>
      </w:r>
      <m:oMathPara>
        <m:oMathParaPr>
          <m:jc m:val="center"/>
        </m:oMathParaPr>
        <m:oMath>
          <m:r>
            <m:rPr>
              <m:nor/>
              <m:sty m:val="p"/>
            </m:rPr>
            <m:t>Ocean trade balance</m:t>
          </m:r>
          <m:r>
            <m:rPr>
              <m:sty m:val="p"/>
            </m:rPr>
            <m:t>=</m:t>
          </m:r>
          <m:r>
            <m:rPr>
              <m:nor/>
              <m:sty m:val="p"/>
            </m:rPr>
            <m:t>Ocean exports</m:t>
          </m:r>
          <m:r>
            <m:rPr>
              <m:sty m:val="p"/>
            </m:rPr>
            <m:t>−</m:t>
          </m:r>
          <m:r>
            <m:rPr>
              <m:nor/>
              <m:sty m:val="p"/>
            </m:rPr>
            <m:t>Ocean imports</m:t>
          </m:r>
        </m:oMath>
      </m:oMathPara>
      <w:r>
        <w:rPr>
          <w:lang w:val="en"/>
        </w:rPr>
        <w:t xml:space="preserve">Ocean trade balance</w:t>
      </w:r>
      <w:r>
        <w:rPr>
          <w:lang w:val="en"/>
        </w:rPr>
        <w:t xml:space="preserve">=</w:t>
      </w:r>
      <w:r>
        <w:rPr>
          <w:lang w:val="en"/>
        </w:rPr>
        <w:t xml:space="preserve">Ocean exports</w:t>
      </w:r>
      <w:r>
        <w:rPr>
          <w:lang w:val="en"/>
        </w:rPr>
        <w:t xml:space="preserve">−</w:t>
      </w:r>
      <w:r>
        <w:rPr>
          <w:lang w:val="en"/>
        </w:rPr>
        <w:t xml:space="preserve">Ocean imports</w:t>
      </w:r>
    </w:p>
    <w:p>
      <w:pPr>
        <w:pStyle w:val="FirstParagraph"/>
      </w:pPr>
      <w:r>
        <w:rPr>
          <w:lang w:val="en"/>
        </w:rPr>
        <w:t xml:space="preserve">¶14</w:t>
      </w:r>
      <w:r>
        <w:rPr>
          <w:lang w:val="en"/>
        </w:rPr>
        <w:t xml:space="preserve"> </w:t>
      </w:r>
      <w:r>
        <w:rPr>
          <w:bCs/>
          <w:b/>
          <w:lang w:val="en"/>
        </w:rPr>
        <w:t xml:space="preserve">Revealed comparative advantage</w:t>
      </w:r>
      <w:r>
        <w:rPr>
          <w:lang w:val="en"/>
        </w:rPr>
        <w:t xml:space="preserve"> </w:t>
      </w:r>
      <w:r>
        <w:rPr>
          <w:lang w:val="en"/>
        </w:rPr>
        <w:t xml:space="preserve">— indicates whether a country specialises in ocean products relative to its overall trade pattern</w:t>
      </w:r>
      <w:hyperlink w:anchor="user-content-fn-21">
        <w:r>
          <w:rPr>
            <w:rStyle w:val="Hyperlink"/>
            <w:vertAlign w:val="superscript"/>
            <w:lang w:val="en"/>
          </w:rPr>
          <w:t xml:space="preserve">21</w:t>
        </w:r>
      </w:hyperlink>
      <w:r>
        <w:rPr>
          <w:lang w:val="en"/>
        </w:rPr>
        <w:t xml:space="preserve">:</w:t>
      </w:r>
      <w:r>
        <w:rPr>
          <w:lang w:val="en"/>
        </w:rPr>
        <w:t xml:space="preserve"> </w:t>
      </w:r>
      <m:oMathPara>
        <m:oMathParaPr>
          <m:jc m:val="center"/>
        </m:oMathParaPr>
        <m:oMath>
          <m:sSub>
            <m:e>
              <m:r>
                <m:rPr>
                  <m:nor/>
                  <m:sty m:val="p"/>
                </m:rPr>
                <m:t>RCA</m:t>
              </m:r>
            </m:e>
            <m:sub>
              <m:r>
                <m:t>i</m:t>
              </m:r>
            </m:sub>
          </m:sSub>
          <m:r>
            <m:rPr>
              <m:sty m:val="p"/>
            </m:rPr>
            <m:t>=</m:t>
          </m:r>
          <m:f>
            <m:fPr>
              <m:type m:val="bar"/>
            </m:fPr>
            <m:num>
              <m:d>
                <m:dPr>
                  <m:begChr m:val="("/>
                  <m:endChr m:val=")"/>
                  <m:sepChr m:val=""/>
                  <m:grow/>
                </m:dPr>
                <m:e>
                  <m:sSub>
                    <m:e>
                      <m:r>
                        <m:t>X</m:t>
                      </m:r>
                    </m:e>
                    <m:sub>
                      <m:r>
                        <m:t>i</m:t>
                      </m:r>
                    </m:sub>
                  </m:sSub>
                  <m:r>
                    <m:rPr>
                      <m:sty m:val="p"/>
                    </m:rPr>
                    <m:t>/</m:t>
                  </m:r>
                  <m:r>
                    <m:t>X</m:t>
                  </m:r>
                </m:e>
              </m:d>
            </m:num>
            <m:den>
              <m:d>
                <m:dPr>
                  <m:begChr m:val="("/>
                  <m:endChr m:val=")"/>
                  <m:sepChr m:val=""/>
                  <m:grow/>
                </m:dPr>
                <m:e>
                  <m:sSubSup>
                    <m:e>
                      <m:r>
                        <m:t>X</m:t>
                      </m:r>
                    </m:e>
                    <m:sub>
                      <m:r>
                        <m:t>i</m:t>
                      </m:r>
                    </m:sub>
                    <m:sup>
                      <m:r>
                        <m:t>w</m:t>
                      </m:r>
                      <m:r>
                        <m:t>o</m:t>
                      </m:r>
                      <m:r>
                        <m:t>r</m:t>
                      </m:r>
                      <m:r>
                        <m:t>l</m:t>
                      </m:r>
                      <m:r>
                        <m:t>d</m:t>
                      </m:r>
                    </m:sup>
                  </m:sSubSup>
                  <m:r>
                    <m:rPr>
                      <m:sty m:val="p"/>
                    </m:rPr>
                    <m:t>/</m:t>
                  </m:r>
                  <m:sSup>
                    <m:e>
                      <m:r>
                        <m:t>X</m:t>
                      </m:r>
                    </m:e>
                    <m:sup>
                      <m:r>
                        <m:t>w</m:t>
                      </m:r>
                      <m:r>
                        <m:t>o</m:t>
                      </m:r>
                      <m:r>
                        <m:t>r</m:t>
                      </m:r>
                      <m:r>
                        <m:t>l</m:t>
                      </m:r>
                      <m:r>
                        <m:t>d</m:t>
                      </m:r>
                    </m:sup>
                  </m:sSup>
                </m:e>
              </m:d>
            </m:den>
          </m:f>
        </m:oMath>
      </m:oMathPara>
      <w:r>
        <w:rPr>
          <w:lang w:val="en"/>
        </w:rPr>
        <w:t xml:space="preserve">RCA</w:t>
      </w:r>
      <w:r>
        <w:rPr>
          <w:lang w:val="en"/>
        </w:rPr>
        <w:t xml:space="preserve">i</w:t>
      </w:r>
      <w:r>
        <w:rPr>
          <w:lang w:val="en"/>
        </w:rPr>
        <w:t xml:space="preserve">​</w:t>
      </w:r>
      <w:r>
        <w:rPr>
          <w:lang w:val="en"/>
        </w:rPr>
        <w:t xml:space="preserve">=</w:t>
      </w:r>
      <w:r>
        <w:rPr>
          <w:lang w:val="en"/>
        </w:rPr>
        <w:t xml:space="preserve">(</w:t>
      </w:r>
      <w:r>
        <w:rPr>
          <w:lang w:val="en"/>
        </w:rPr>
        <w:t xml:space="preserve">X</w:t>
      </w:r>
      <w:r>
        <w:rPr>
          <w:lang w:val="en"/>
        </w:rPr>
        <w:t xml:space="preserve">i</w:t>
      </w:r>
      <w:r>
        <w:rPr>
          <w:lang w:val="en"/>
        </w:rPr>
        <w:t xml:space="preserve">w</w:t>
      </w:r>
      <w:r>
        <w:rPr>
          <w:lang w:val="en"/>
        </w:rPr>
        <w:t xml:space="preserve">or</w:t>
      </w:r>
      <w:r>
        <w:rPr>
          <w:lang w:val="en"/>
        </w:rPr>
        <w:t xml:space="preserve">l</w:t>
      </w:r>
      <w:r>
        <w:rPr>
          <w:lang w:val="en"/>
        </w:rPr>
        <w:t xml:space="preserve">d</w:t>
      </w:r>
      <w:r>
        <w:rPr>
          <w:lang w:val="en"/>
        </w:rPr>
        <w:t xml:space="preserve">​</w:t>
      </w:r>
      <w:r>
        <w:rPr>
          <w:lang w:val="en"/>
        </w:rPr>
        <w:t xml:space="preserve">/</w:t>
      </w:r>
      <w:r>
        <w:rPr>
          <w:lang w:val="en"/>
        </w:rPr>
        <w:t xml:space="preserve">X</w:t>
      </w:r>
      <w:r>
        <w:rPr>
          <w:lang w:val="en"/>
        </w:rPr>
        <w:t xml:space="preserve">w</w:t>
      </w:r>
      <w:r>
        <w:rPr>
          <w:lang w:val="en"/>
        </w:rPr>
        <w:t xml:space="preserve">or</w:t>
      </w:r>
      <w:r>
        <w:rPr>
          <w:lang w:val="en"/>
        </w:rPr>
        <w:t xml:space="preserve">l</w:t>
      </w:r>
      <w:r>
        <w:rPr>
          <w:lang w:val="en"/>
        </w:rPr>
        <w:t xml:space="preserve">d</w:t>
      </w:r>
      <w:r>
        <w:rPr>
          <w:lang w:val="en"/>
        </w:rPr>
        <w:t xml:space="preserve">)</w:t>
      </w:r>
      <w:r>
        <w:rPr>
          <w:lang w:val="en"/>
        </w:rPr>
        <w:t xml:space="preserve">(</w:t>
      </w:r>
      <w:r>
        <w:rPr>
          <w:lang w:val="en"/>
        </w:rPr>
        <w:t xml:space="preserve">X</w:t>
      </w:r>
      <w:r>
        <w:rPr>
          <w:lang w:val="en"/>
        </w:rPr>
        <w:t xml:space="preserve">i</w:t>
      </w:r>
      <w:r>
        <w:rPr>
          <w:lang w:val="en"/>
        </w:rPr>
        <w:t xml:space="preserve">​</w:t>
      </w:r>
      <w:r>
        <w:rPr>
          <w:lang w:val="en"/>
        </w:rPr>
        <w:t xml:space="preserve">/</w:t>
      </w:r>
      <w:r>
        <w:rPr>
          <w:lang w:val="en"/>
        </w:rPr>
        <w:t xml:space="preserve">X</w:t>
      </w:r>
      <w:r>
        <w:rPr>
          <w:lang w:val="en"/>
        </w:rPr>
        <w:t xml:space="preserve">)</w:t>
      </w:r>
      <w:r>
        <w:rPr>
          <w:lang w:val="en"/>
        </w:rPr>
        <w:t xml:space="preserve">​</w:t>
      </w:r>
    </w:p>
    <w:p>
      <w:pPr>
        <w:pStyle w:val="FirstParagraph"/>
      </w:pPr>
      <w:r>
        <w:rPr>
          <w:lang w:val="en"/>
        </w:rPr>
        <w:t xml:space="preserve">¶15</w:t>
      </w:r>
      <w:r>
        <w:rPr>
          <w:lang w:val="en"/>
        </w:rPr>
        <w:t xml:space="preserve"> </w:t>
      </w:r>
      <w:r>
        <w:rPr>
          <w:lang w:val="en"/>
        </w:rPr>
        <w:t xml:space="preserve">where</w:t>
      </w:r>
      <w:r>
        <w:rPr>
          <w:lang w:val="en"/>
        </w:rPr>
        <w:t xml:space="preserve"> </w:t>
      </w:r>
      <m:oMath>
        <m:sSub>
          <m:e>
            <m:r>
              <m:t>X</m:t>
            </m:r>
          </m:e>
          <m:sub>
            <m:r>
              <m:t>i</m:t>
            </m:r>
          </m:sub>
        </m:sSub>
      </m:oMath>
      <w:r>
        <w:rPr>
          <w:lang w:val="en"/>
        </w:rPr>
        <w:t xml:space="preserve">X</w:t>
      </w:r>
      <w:r>
        <w:rPr>
          <w:lang w:val="en"/>
        </w:rPr>
        <w:t xml:space="preserve">i</w:t>
      </w:r>
      <w:r>
        <w:rPr>
          <w:lang w:val="en"/>
        </w:rPr>
        <w:t xml:space="preserve">​</w:t>
      </w:r>
      <w:r>
        <w:rPr>
          <w:lang w:val="en"/>
        </w:rPr>
        <w:t xml:space="preserve"> </w:t>
      </w:r>
      <w:r>
        <w:rPr>
          <w:lang w:val="en"/>
        </w:rPr>
        <w:t xml:space="preserve">is exports of ocean product</w:t>
      </w:r>
      <w:r>
        <w:rPr>
          <w:lang w:val="en"/>
        </w:rPr>
        <w:t xml:space="preserve"> </w:t>
      </w:r>
      <m:oMath>
        <m:r>
          <m:t>i</m:t>
        </m:r>
      </m:oMath>
      <w:r>
        <w:rPr>
          <w:lang w:val="en"/>
        </w:rPr>
        <w:t xml:space="preserve">i</w:t>
      </w:r>
      <w:r>
        <w:rPr>
          <w:lang w:val="en"/>
        </w:rPr>
        <w:t xml:space="preserve">,</w:t>
      </w:r>
      <w:r>
        <w:rPr>
          <w:lang w:val="en"/>
        </w:rPr>
        <w:t xml:space="preserve"> </w:t>
      </w:r>
      <m:oMath>
        <m:r>
          <m:t>X</m:t>
        </m:r>
      </m:oMath>
      <w:r>
        <w:rPr>
          <w:lang w:val="en"/>
        </w:rPr>
        <w:t xml:space="preserve">X</w:t>
      </w:r>
      <w:r>
        <w:rPr>
          <w:lang w:val="en"/>
        </w:rPr>
        <w:t xml:space="preserve"> </w:t>
      </w:r>
      <w:r>
        <w:rPr>
          <w:lang w:val="en"/>
        </w:rPr>
        <w:t xml:space="preserve">is total exports,</w:t>
      </w:r>
      <w:r>
        <w:rPr>
          <w:lang w:val="en"/>
        </w:rPr>
        <w:t xml:space="preserve"> </w:t>
      </w:r>
      <m:oMath>
        <m:sSubSup>
          <m:e>
            <m:r>
              <m:t>X</m:t>
            </m:r>
          </m:e>
          <m:sub>
            <m:r>
              <m:t>i</m:t>
            </m:r>
          </m:sub>
          <m:sup>
            <m:r>
              <m:t>w</m:t>
            </m:r>
            <m:r>
              <m:t>o</m:t>
            </m:r>
            <m:r>
              <m:t>r</m:t>
            </m:r>
            <m:r>
              <m:t>l</m:t>
            </m:r>
            <m:r>
              <m:t>d</m:t>
            </m:r>
          </m:sup>
        </m:sSubSup>
      </m:oMath>
      <w:r>
        <w:rPr>
          <w:lang w:val="en"/>
        </w:rPr>
        <w:t xml:space="preserve">X</w:t>
      </w:r>
      <w:r>
        <w:rPr>
          <w:lang w:val="en"/>
        </w:rPr>
        <w:t xml:space="preserve">i</w:t>
      </w:r>
      <w:r>
        <w:rPr>
          <w:lang w:val="en"/>
        </w:rPr>
        <w:t xml:space="preserve">w</w:t>
      </w:r>
      <w:r>
        <w:rPr>
          <w:lang w:val="en"/>
        </w:rPr>
        <w:t xml:space="preserve">or</w:t>
      </w:r>
      <w:r>
        <w:rPr>
          <w:lang w:val="en"/>
        </w:rPr>
        <w:t xml:space="preserve">l</w:t>
      </w:r>
      <w:r>
        <w:rPr>
          <w:lang w:val="en"/>
        </w:rPr>
        <w:t xml:space="preserve">d</w:t>
      </w:r>
      <w:r>
        <w:rPr>
          <w:lang w:val="en"/>
        </w:rPr>
        <w:t xml:space="preserve">​</w:t>
      </w:r>
      <w:r>
        <w:rPr>
          <w:lang w:val="en"/>
        </w:rPr>
        <w:t xml:space="preserve"> </w:t>
      </w:r>
      <w:r>
        <w:rPr>
          <w:lang w:val="en"/>
        </w:rPr>
        <w:t xml:space="preserve">is world exports of ocean product</w:t>
      </w:r>
      <w:r>
        <w:rPr>
          <w:lang w:val="en"/>
        </w:rPr>
        <w:t xml:space="preserve"> </w:t>
      </w:r>
      <m:oMath>
        <m:r>
          <m:t>i</m:t>
        </m:r>
      </m:oMath>
      <w:r>
        <w:rPr>
          <w:lang w:val="en"/>
        </w:rPr>
        <w:t xml:space="preserve">i</w:t>
      </w:r>
      <w:r>
        <w:rPr>
          <w:lang w:val="en"/>
        </w:rPr>
        <w:t xml:space="preserve">, and</w:t>
      </w:r>
      <w:r>
        <w:rPr>
          <w:lang w:val="en"/>
        </w:rPr>
        <w:t xml:space="preserve"> </w:t>
      </w:r>
      <m:oMath>
        <m:sSup>
          <m:e>
            <m:r>
              <m:t>X</m:t>
            </m:r>
          </m:e>
          <m:sup>
            <m:r>
              <m:t>w</m:t>
            </m:r>
            <m:r>
              <m:t>o</m:t>
            </m:r>
            <m:r>
              <m:t>r</m:t>
            </m:r>
            <m:r>
              <m:t>l</m:t>
            </m:r>
            <m:r>
              <m:t>d</m:t>
            </m:r>
          </m:sup>
        </m:sSup>
      </m:oMath>
      <w:r>
        <w:rPr>
          <w:lang w:val="en"/>
        </w:rPr>
        <w:t xml:space="preserve">X</w:t>
      </w:r>
      <w:r>
        <w:rPr>
          <w:lang w:val="en"/>
        </w:rPr>
        <w:t xml:space="preserve">w</w:t>
      </w:r>
      <w:r>
        <w:rPr>
          <w:lang w:val="en"/>
        </w:rPr>
        <w:t xml:space="preserve">or</w:t>
      </w:r>
      <w:r>
        <w:rPr>
          <w:lang w:val="en"/>
        </w:rPr>
        <w:t xml:space="preserve">l</w:t>
      </w:r>
      <w:r>
        <w:rPr>
          <w:lang w:val="en"/>
        </w:rPr>
        <w:t xml:space="preserve">d</w:t>
      </w:r>
      <w:r>
        <w:rPr>
          <w:lang w:val="en"/>
        </w:rPr>
        <w:t xml:space="preserve"> </w:t>
      </w:r>
      <w:r>
        <w:rPr>
          <w:lang w:val="en"/>
        </w:rPr>
        <w:t xml:space="preserve">is total world exports. An RCA &gt; 1 indicates comparative advantage.</w:t>
      </w:r>
    </w:p>
    <w:p>
      <w:pPr>
        <w:pStyle w:val="BodyText"/>
      </w:pPr>
      <w:r>
        <w:rPr>
          <w:lang w:val="en"/>
        </w:rPr>
        <w:t xml:space="preserve">¶16</w:t>
      </w:r>
      <w:r>
        <w:rPr>
          <w:lang w:val="en"/>
        </w:rPr>
        <w:t xml:space="preserve"> </w:t>
      </w:r>
      <w:r>
        <w:rPr>
          <w:lang w:val="en"/>
        </w:rPr>
        <w:t xml:space="preserve">Maritime transport services trade requires careful treatment due to the distinction between resident and non-resident operators. The spatial treatment of economic activities within the Exclusive Economic Zone is addressed in</w:t>
      </w:r>
      <w:r>
        <w:rPr>
          <w:lang w:val="en"/>
        </w:rPr>
        <w:t xml:space="preserve"> </w:t>
      </w:r>
      <w:hyperlink r:id="rId32">
        <w:r>
          <w:rPr>
            <w:rStyle w:val="Hyperlink"/>
            <w:bCs/>
            <w:b/>
            <w:lang w:val="en"/>
          </w:rPr>
          <w:t xml:space="preserve">TG-3.3</w:t>
        </w:r>
      </w:hyperlink>
      <w:r>
        <w:rPr>
          <w:lang w:val="en"/>
        </w:rPr>
        <w:t xml:space="preserve"> </w:t>
      </w:r>
      <w:r>
        <w:rPr>
          <w:lang w:val="en"/>
        </w:rPr>
        <w:t xml:space="preserve">Section 3.1. The Balance of Payments Manual (BPM6; BPM7, forthcoming) provides detailed guidance on recording maritime transport services in the current account, including the allocation of freight charges between importing and exporting economies and the treatment of services provided by non-resident carriers</w:t>
      </w:r>
      <w:hyperlink w:anchor="user-content-fn-22">
        <w:r>
          <w:rPr>
            <w:rStyle w:val="Hyperlink"/>
            <w:vertAlign w:val="superscript"/>
            <w:lang w:val="en"/>
          </w:rPr>
          <w:t xml:space="preserve">22</w:t>
        </w:r>
      </w:hyperlink>
      <w:r>
        <w:rPr>
          <w:lang w:val="en"/>
        </w:rPr>
        <w:t xml:space="preserve">. Compilers should ensure that trade in maritime transport services is recorded consistently between the ocean economy accounts and the balance of payments.</w:t>
      </w:r>
    </w:p>
    <w:bookmarkStart w:id="131" w:name="investment-indicators"/>
    <w:p>
      <w:pPr>
        <w:pStyle w:val="Heading4"/>
      </w:pPr>
      <w:r>
        <w:rPr>
          <w:lang w:val="en"/>
        </w:rPr>
        <w:t xml:space="preserve">Investment indicators</w:t>
      </w:r>
    </w:p>
    <w:p>
      <w:pPr>
        <w:pStyle w:val="FirstParagraph"/>
      </w:pPr>
      <w:hyperlink w:anchor="investment-indicators">
        <w:r>
          <w:drawing>
            <wp:inline>
              <wp:extent cx="152400" cy="152400"/>
              <wp:effectExtent b="0" l="0" r="0" t="0"/>
              <wp:docPr descr="" title="" id="1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“Investment indicators”</w:t>
        </w:r>
      </w:hyperlink>
    </w:p>
    <w:bookmarkEnd w:id="131"/>
    <w:p>
      <w:pPr>
        <w:pStyle w:val="BodyText"/>
      </w:pPr>
      <w:r>
        <w:rPr>
          <w:lang w:val="en"/>
        </w:rPr>
        <w:t xml:space="preserve">¶1</w:t>
      </w:r>
      <w:r>
        <w:rPr>
          <w:lang w:val="en"/>
        </w:rPr>
        <w:t xml:space="preserve"> </w:t>
      </w:r>
      <w:r>
        <w:rPr>
          <w:bCs/>
          <w:b/>
          <w:lang w:val="en"/>
        </w:rPr>
        <w:t xml:space="preserve">Gross fixed capital formation (GFCF) in ocean industries</w:t>
      </w:r>
    </w:p>
    <w:p>
      <w:pPr>
        <w:pStyle w:val="BodyText"/>
      </w:pPr>
      <w:r>
        <w:rPr>
          <w:lang w:val="en"/>
        </w:rPr>
        <w:t xml:space="preserve">¶2</w:t>
      </w:r>
      <w:r>
        <w:rPr>
          <w:lang w:val="en"/>
        </w:rPr>
        <w:t xml:space="preserve"> </w:t>
      </w:r>
      <w:r>
        <w:rPr>
          <w:lang w:val="en"/>
        </w:rPr>
        <w:t xml:space="preserve">Ocean economy investment includes:</w:t>
      </w:r>
    </w:p>
    <w:p>
      <w:pPr>
        <w:numPr>
          <w:ilvl w:val="0"/>
          <w:numId w:val="1020"/>
        </w:numPr>
        <w:pStyle w:val="Compact"/>
      </w:pPr>
      <w:r>
        <w:rPr>
          <w:lang w:val="en"/>
        </w:rPr>
        <w:t xml:space="preserve">¶3</w:t>
      </w:r>
      <w:r>
        <w:rPr>
          <w:lang w:val="en"/>
        </w:rPr>
        <w:t xml:space="preserve"> </w:t>
      </w:r>
      <w:r>
        <w:rPr>
          <w:lang w:val="en"/>
        </w:rPr>
        <w:t xml:space="preserve">Vessels (fishing boats, cargo ships, cruise ships)</w:t>
      </w:r>
    </w:p>
    <w:p>
      <w:pPr>
        <w:numPr>
          <w:ilvl w:val="0"/>
          <w:numId w:val="1020"/>
        </w:numPr>
        <w:pStyle w:val="Compact"/>
      </w:pPr>
      <w:r>
        <w:rPr>
          <w:lang w:val="en"/>
        </w:rPr>
        <w:t xml:space="preserve">¶4</w:t>
      </w:r>
      <w:r>
        <w:rPr>
          <w:lang w:val="en"/>
        </w:rPr>
        <w:t xml:space="preserve"> </w:t>
      </w:r>
      <w:r>
        <w:rPr>
          <w:lang w:val="en"/>
        </w:rPr>
        <w:t xml:space="preserve">Port infrastructure (harbours, terminals, cargo handling equipment)</w:t>
      </w:r>
    </w:p>
    <w:p>
      <w:pPr>
        <w:numPr>
          <w:ilvl w:val="0"/>
          <w:numId w:val="1020"/>
        </w:numPr>
        <w:pStyle w:val="Compact"/>
      </w:pPr>
      <w:r>
        <w:rPr>
          <w:lang w:val="en"/>
        </w:rPr>
        <w:t xml:space="preserve">¶5</w:t>
      </w:r>
      <w:r>
        <w:rPr>
          <w:lang w:val="en"/>
        </w:rPr>
        <w:t xml:space="preserve"> </w:t>
      </w:r>
      <w:r>
        <w:rPr>
          <w:lang w:val="en"/>
        </w:rPr>
        <w:t xml:space="preserve">Offshore platforms and installations</w:t>
      </w:r>
    </w:p>
    <w:p>
      <w:pPr>
        <w:numPr>
          <w:ilvl w:val="0"/>
          <w:numId w:val="1020"/>
        </w:numPr>
        <w:pStyle w:val="Compact"/>
      </w:pPr>
      <w:r>
        <w:rPr>
          <w:lang w:val="en"/>
        </w:rPr>
        <w:t xml:space="preserve">¶6</w:t>
      </w:r>
      <w:r>
        <w:rPr>
          <w:lang w:val="en"/>
        </w:rPr>
        <w:t xml:space="preserve"> </w:t>
      </w:r>
      <w:r>
        <w:rPr>
          <w:lang w:val="en"/>
        </w:rPr>
        <w:t xml:space="preserve">Aquaculture facilities</w:t>
      </w:r>
    </w:p>
    <w:p>
      <w:pPr>
        <w:numPr>
          <w:ilvl w:val="0"/>
          <w:numId w:val="1020"/>
        </w:numPr>
        <w:pStyle w:val="Compact"/>
      </w:pPr>
      <w:r>
        <w:rPr>
          <w:lang w:val="en"/>
        </w:rPr>
        <w:t xml:space="preserve">¶7</w:t>
      </w:r>
      <w:r>
        <w:rPr>
          <w:lang w:val="en"/>
        </w:rPr>
        <w:t xml:space="preserve"> </w:t>
      </w:r>
      <w:r>
        <w:rPr>
          <w:lang w:val="en"/>
        </w:rPr>
        <w:t xml:space="preserve">Coastal tourism infrastructure</w:t>
      </w:r>
    </w:p>
    <w:p>
      <w:pPr>
        <w:pStyle w:val="FirstParagraph"/>
      </w:pPr>
      <w:r>
        <w:rPr>
          <w:lang w:val="en"/>
        </w:rPr>
        <w:t xml:space="preserve">¶8</w:t>
      </w:r>
      <w:r>
        <w:rPr>
          <w:lang w:val="en"/>
        </w:rPr>
        <w:t xml:space="preserve"> </w:t>
      </w:r>
      <w:r>
        <w:rPr>
          <w:bCs/>
          <w:b/>
          <w:lang w:val="en"/>
        </w:rPr>
        <w:t xml:space="preserve">Investment rate</w:t>
      </w:r>
      <w:r>
        <w:rPr>
          <w:lang w:val="en"/>
        </w:rPr>
        <w:t xml:space="preserve"> </w:t>
      </w:r>
      <m:oMathPara>
        <m:oMathParaPr>
          <m:jc m:val="center"/>
        </m:oMathParaPr>
        <m:oMath>
          <m:r>
            <m:rPr>
              <m:nor/>
              <m:sty m:val="p"/>
            </m:rPr>
            <m:t>Investment rate</m:t>
          </m:r>
          <m:r>
            <m:rPr>
              <m:sty m:val="p"/>
            </m:rPr>
            <m:t>=</m:t>
          </m:r>
          <m:f>
            <m:fPr>
              <m:type m:val="bar"/>
            </m:fPr>
            <m:num>
              <m:r>
                <m:rPr>
                  <m:nor/>
                  <m:sty m:val="p"/>
                </m:rPr>
                <m:t>Ocean GFCF</m:t>
              </m:r>
            </m:num>
            <m:den>
              <m:r>
                <m:rPr>
                  <m:nor/>
                  <m:sty m:val="p"/>
                </m:rPr>
                <m:t>Ocean GVA</m:t>
              </m:r>
            </m:den>
          </m:f>
          <m:r>
            <m:rPr>
              <m:sty m:val="p"/>
            </m:rPr>
            <m:t>×</m:t>
          </m:r>
          <m:r>
            <m:t>100</m:t>
          </m:r>
        </m:oMath>
      </m:oMathPara>
      <w:r>
        <w:rPr>
          <w:lang w:val="en"/>
        </w:rPr>
        <w:t xml:space="preserve">Investment rate</w:t>
      </w:r>
      <w:r>
        <w:rPr>
          <w:lang w:val="en"/>
        </w:rPr>
        <w:t xml:space="preserve">=</w:t>
      </w:r>
      <w:r>
        <w:rPr>
          <w:lang w:val="en"/>
        </w:rPr>
        <w:t xml:space="preserve">Ocean GVA</w:t>
      </w:r>
      <w:r>
        <w:rPr>
          <w:lang w:val="en"/>
        </w:rPr>
        <w:t xml:space="preserve">Ocean GFCF</w:t>
      </w:r>
      <w:r>
        <w:rPr>
          <w:lang w:val="en"/>
        </w:rPr>
        <w:t xml:space="preserve">​</w:t>
      </w:r>
      <w:r>
        <w:rPr>
          <w:lang w:val="en"/>
        </w:rPr>
        <w:t xml:space="preserve">×</w:t>
      </w:r>
      <w:r>
        <w:rPr>
          <w:lang w:val="en"/>
        </w:rPr>
        <w:t xml:space="preserve">100</w:t>
      </w:r>
    </w:p>
    <w:p>
      <w:pPr>
        <w:pStyle w:val="FirstParagraph"/>
      </w:pPr>
      <w:r>
        <w:rPr>
          <w:lang w:val="en"/>
        </w:rPr>
        <w:t xml:space="preserve">¶9</w:t>
      </w:r>
      <w:r>
        <w:rPr>
          <w:lang w:val="en"/>
        </w:rPr>
        <w:t xml:space="preserve"> </w:t>
      </w:r>
      <w:r>
        <w:rPr>
          <w:bCs/>
          <w:b/>
          <w:lang w:val="en"/>
        </w:rPr>
        <w:t xml:space="preserve">Investment share</w:t>
      </w:r>
      <w:r>
        <w:rPr>
          <w:lang w:val="en"/>
        </w:rPr>
        <w:t xml:space="preserve"> </w:t>
      </w:r>
      <m:oMathPara>
        <m:oMathParaPr>
          <m:jc m:val="center"/>
        </m:oMathParaPr>
        <m:oMath>
          <m:r>
            <m:rPr>
              <m:nor/>
              <m:sty m:val="p"/>
            </m:rPr>
            <m:t>Investment share</m:t>
          </m:r>
          <m:r>
            <m:rPr>
              <m:sty m:val="p"/>
            </m:rPr>
            <m:t>=</m:t>
          </m:r>
          <m:f>
            <m:fPr>
              <m:type m:val="bar"/>
            </m:fPr>
            <m:num>
              <m:r>
                <m:rPr>
                  <m:nor/>
                  <m:sty m:val="p"/>
                </m:rPr>
                <m:t>Ocean GFCF</m:t>
              </m:r>
            </m:num>
            <m:den>
              <m:r>
                <m:rPr>
                  <m:nor/>
                  <m:sty m:val="p"/>
                </m:rPr>
                <m:t>Total national GFCF</m:t>
              </m:r>
            </m:den>
          </m:f>
          <m:r>
            <m:rPr>
              <m:sty m:val="p"/>
            </m:rPr>
            <m:t>×</m:t>
          </m:r>
          <m:r>
            <m:t>100</m:t>
          </m:r>
        </m:oMath>
      </m:oMathPara>
      <w:r>
        <w:rPr>
          <w:lang w:val="en"/>
        </w:rPr>
        <w:t xml:space="preserve">Investment share</w:t>
      </w:r>
      <w:r>
        <w:rPr>
          <w:lang w:val="en"/>
        </w:rPr>
        <w:t xml:space="preserve">=</w:t>
      </w:r>
      <w:r>
        <w:rPr>
          <w:lang w:val="en"/>
        </w:rPr>
        <w:t xml:space="preserve">Total national GFCF</w:t>
      </w:r>
      <w:r>
        <w:rPr>
          <w:lang w:val="en"/>
        </w:rPr>
        <w:t xml:space="preserve">Ocean GFCF</w:t>
      </w:r>
      <w:r>
        <w:rPr>
          <w:lang w:val="en"/>
        </w:rPr>
        <w:t xml:space="preserve">​</w:t>
      </w:r>
      <w:r>
        <w:rPr>
          <w:lang w:val="en"/>
        </w:rPr>
        <w:t xml:space="preserve">×</w:t>
      </w:r>
      <w:r>
        <w:rPr>
          <w:lang w:val="en"/>
        </w:rPr>
        <w:t xml:space="preserve">100</w:t>
      </w:r>
    </w:p>
    <w:p>
      <w:pPr>
        <w:pStyle w:val="FirstParagraph"/>
      </w:pPr>
      <w:r>
        <w:rPr>
          <w:lang w:val="en"/>
        </w:rPr>
        <w:t xml:space="preserve">¶10</w:t>
      </w:r>
      <w:r>
        <w:rPr>
          <w:lang w:val="en"/>
        </w:rPr>
        <w:t xml:space="preserve"> </w:t>
      </w:r>
      <w:r>
        <w:rPr>
          <w:lang w:val="en"/>
        </w:rPr>
        <w:t xml:space="preserve">This reveals the ocean economy’s share of national capital formation.</w:t>
      </w:r>
    </w:p>
    <w:p>
      <w:pPr>
        <w:pStyle w:val="BodyText"/>
      </w:pPr>
      <w:r>
        <w:rPr>
          <w:lang w:val="en"/>
        </w:rPr>
        <w:t xml:space="preserve">¶11</w:t>
      </w:r>
      <w:r>
        <w:rPr>
          <w:lang w:val="en"/>
        </w:rPr>
        <w:t xml:space="preserve"> </w:t>
      </w:r>
      <w:r>
        <w:rPr>
          <w:bCs/>
          <w:b/>
          <w:lang w:val="en"/>
        </w:rPr>
        <w:t xml:space="preserve">Foreign direct investment (FDI) in ocean sectors</w:t>
      </w:r>
      <w:r>
        <w:rPr>
          <w:lang w:val="en"/>
        </w:rPr>
        <w:t xml:space="preserve"> </w:t>
      </w:r>
      <w:r>
        <w:rPr>
          <w:lang w:val="en"/>
        </w:rPr>
        <w:t xml:space="preserve">— where data permit, the stock and flow of FDI in ocean industries provides insight into external capital participation. This may be particularly significant in offshore energy, maritime transport, and port operations</w:t>
      </w:r>
      <w:hyperlink w:anchor="user-content-fn-23">
        <w:r>
          <w:rPr>
            <w:rStyle w:val="Hyperlink"/>
            <w:vertAlign w:val="superscript"/>
            <w:lang w:val="en"/>
          </w:rPr>
          <w:t xml:space="preserve">23</w:t>
        </w:r>
      </w:hyperlink>
      <w:r>
        <w:rPr>
          <w:lang w:val="en"/>
        </w:rPr>
        <w:t xml:space="preserve">. FDI data by detailed industry are often limited and may be subject to confidentiality constraints where few enterprises operate in a given industry. Where direct FDI data are unavailable, compilers may use alternative approaches such as ownership information from business registers, investment project tracking databases, or qualitative assessments based on known foreign ownership in key ocean industries. Detailed treatment of investment analysis for the ocean economy is provided in</w:t>
      </w:r>
      <w:r>
        <w:rPr>
          <w:lang w:val="en"/>
        </w:rPr>
        <w:t xml:space="preserve"> </w:t>
      </w:r>
      <w:hyperlink r:id="rId132">
        <w:r>
          <w:rPr>
            <w:rStyle w:val="Hyperlink"/>
            <w:bCs/>
            <w:b/>
            <w:lang w:val="en"/>
          </w:rPr>
          <w:t xml:space="preserve">TG-2.6 Ocean Investment</w:t>
        </w:r>
      </w:hyperlink>
      <w:r>
        <w:rPr>
          <w:lang w:val="en"/>
        </w:rPr>
        <w:t xml:space="preserve">.</w:t>
      </w:r>
    </w:p>
    <w:bookmarkStart w:id="135" w:name="sustainable-ocean-finance"/>
    <w:p>
      <w:pPr>
        <w:pStyle w:val="Heading4"/>
      </w:pPr>
      <w:r>
        <w:rPr>
          <w:lang w:val="en"/>
        </w:rPr>
        <w:t xml:space="preserve">Sustainable ocean finance</w:t>
      </w:r>
    </w:p>
    <w:p>
      <w:pPr>
        <w:pStyle w:val="FirstParagraph"/>
      </w:pPr>
      <w:hyperlink w:anchor="sustainable-ocean-finance">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“Sustainable ocean finance”</w:t>
        </w:r>
      </w:hyperlink>
    </w:p>
    <w:bookmarkEnd w:id="135"/>
    <w:p>
      <w:pPr>
        <w:pStyle w:val="BodyText"/>
      </w:pPr>
      <w:r>
        <w:rPr>
          <w:lang w:val="en"/>
        </w:rPr>
        <w:t xml:space="preserve">¶1</w:t>
      </w:r>
      <w:r>
        <w:rPr>
          <w:lang w:val="en"/>
        </w:rPr>
        <w:t xml:space="preserve"> </w:t>
      </w:r>
      <w:r>
        <w:rPr>
          <w:lang w:val="en"/>
        </w:rPr>
        <w:t xml:space="preserve">Beyond conventional GFCF, the investment dimension of the ocean economy increasingly includes</w:t>
      </w:r>
      <w:r>
        <w:rPr>
          <w:lang w:val="en"/>
        </w:rPr>
        <w:t xml:space="preserve"> </w:t>
      </w:r>
      <w:r>
        <w:rPr>
          <w:bCs/>
          <w:b/>
          <w:lang w:val="en"/>
        </w:rPr>
        <w:t xml:space="preserve">sustainable ocean finance</w:t>
      </w:r>
      <w:r>
        <w:rPr>
          <w:lang w:val="en"/>
        </w:rPr>
        <w:t xml:space="preserve"> </w:t>
      </w:r>
      <w:r>
        <w:rPr>
          <w:lang w:val="en"/>
        </w:rPr>
        <w:t xml:space="preserve">instruments such as blue bonds, blue loans, and blue equity investments. These instruments channel capital towards ocean-related activities that meet defined environmental sustainability criteria. Whilst sustainable finance flows are not recorded as GFCF in the national accounts (they represent financial transactions rather than acquisition of produced assets), their scale and growth constitute an important structural characteristic of the ocean economy’s financing landscape. The methodology for measuring sustainable ocean finance, including classification criteria, data sources, and indicator definitions, is addressed in</w:t>
      </w:r>
      <w:r>
        <w:rPr>
          <w:lang w:val="en"/>
        </w:rPr>
        <w:t xml:space="preserve"> </w:t>
      </w:r>
      <w:hyperlink r:id="rId132">
        <w:r>
          <w:rPr>
            <w:rStyle w:val="Hyperlink"/>
            <w:bCs/>
            <w:b/>
            <w:lang w:val="en"/>
          </w:rPr>
          <w:t xml:space="preserve">TG-2.6 Ocean Investment</w:t>
        </w:r>
      </w:hyperlink>
      <w:r>
        <w:rPr>
          <w:lang w:val="en"/>
        </w:rPr>
        <w:t xml:space="preserve"> </w:t>
      </w:r>
      <w:r>
        <w:rPr>
          <w:lang w:val="en"/>
        </w:rPr>
        <w:t xml:space="preserve">Section 3.4.</w:t>
      </w:r>
    </w:p>
    <w:p>
      <w:pPr>
        <w:pStyle w:val="BodyText"/>
      </w:pPr>
      <w:r>
        <w:rPr>
          <w:lang w:val="en"/>
        </w:rPr>
        <w:t xml:space="preserve">¶2</w:t>
      </w:r>
      <w:r>
        <w:rPr>
          <w:lang w:val="en"/>
        </w:rPr>
        <w:t xml:space="preserve"> </w:t>
      </w:r>
      <w:r>
        <w:rPr>
          <w:lang w:val="en"/>
        </w:rPr>
        <w:t xml:space="preserve">Table 3.3 presents trade and investment indicators for Country A.</w:t>
      </w:r>
    </w:p>
    <w:p>
      <w:pPr>
        <w:pStyle w:val="BodyText"/>
      </w:pPr>
      <w:r>
        <w:rPr>
          <w:lang w:val="en"/>
        </w:rPr>
        <w:t xml:space="preserve">¶3</w:t>
      </w:r>
      <w:r>
        <w:rPr>
          <w:lang w:val="en"/>
        </w:rPr>
        <w:t xml:space="preserve"> </w:t>
      </w:r>
      <w:r>
        <w:rPr>
          <w:bCs/>
          <w:b/>
          <w:lang w:val="en"/>
        </w:rPr>
        <w:t xml:space="preserve">Table 3.3: Ocean economy trade and investment (Country A,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Indicator</w:t>
            </w:r>
          </w:p>
        </w:tc>
        <w:tc>
          <w:tcPr/>
          <w:p>
            <w:pPr>
              <w:pStyle w:val="Compact"/>
              <w:jc w:val="left"/>
            </w:pPr>
            <w:r>
              <w:rPr>
                <w:lang w:val="en"/>
              </w:rPr>
              <w:t xml:space="preserve">Value (million USD)</w:t>
            </w:r>
          </w:p>
        </w:tc>
        <w:tc>
          <w:tcPr/>
          <w:p>
            <w:pPr>
              <w:pStyle w:val="Compact"/>
              <w:jc w:val="left"/>
            </w:pPr>
            <w:r>
              <w:rPr>
                <w:lang w:val="en"/>
              </w:rPr>
              <w:t xml:space="preserve">Share of national total (%)</w:t>
            </w:r>
          </w:p>
        </w:tc>
      </w:tr>
      <w:tr>
        <w:tc>
          <w:tcPr/>
          <w:p>
            <w:pPr>
              <w:pStyle w:val="Compact"/>
              <w:jc w:val="left"/>
            </w:pPr>
            <w:r>
              <w:rPr>
                <w:lang w:val="en"/>
              </w:rPr>
              <w:t xml:space="preserve">Ocean economy exports</w:t>
            </w:r>
          </w:p>
        </w:tc>
        <w:tc>
          <w:tcPr/>
          <w:p>
            <w:pPr>
              <w:pStyle w:val="Compact"/>
              <w:jc w:val="left"/>
            </w:pPr>
            <w:r>
              <w:rPr>
                <w:lang w:val="en"/>
              </w:rPr>
              <w:t xml:space="preserve">620</w:t>
            </w:r>
          </w:p>
        </w:tc>
        <w:tc>
          <w:tcPr/>
          <w:p>
            <w:pPr>
              <w:pStyle w:val="Compact"/>
              <w:jc w:val="left"/>
            </w:pPr>
            <w:r>
              <w:rPr>
                <w:lang w:val="en"/>
              </w:rPr>
              <w:t xml:space="preserve">5.2</w:t>
            </w:r>
          </w:p>
        </w:tc>
      </w:tr>
      <w:tr>
        <w:tc>
          <w:tcPr/>
          <w:p>
            <w:pPr>
              <w:pStyle w:val="Compact"/>
              <w:jc w:val="left"/>
            </w:pPr>
            <w:r>
              <w:rPr>
                <w:lang w:val="en"/>
              </w:rPr>
              <w:t xml:space="preserve">- Fish and fishery products</w:t>
            </w:r>
          </w:p>
        </w:tc>
        <w:tc>
          <w:tcPr/>
          <w:p>
            <w:pPr>
              <w:pStyle w:val="Compact"/>
              <w:jc w:val="left"/>
            </w:pPr>
            <w:r>
              <w:rPr>
                <w:lang w:val="en"/>
              </w:rPr>
              <w:t xml:space="preserve">215</w:t>
            </w:r>
          </w:p>
        </w:tc>
        <w:tc>
          <w:tcPr/>
          <w:p>
            <w:pPr>
              <w:pStyle w:val="Compact"/>
              <w:jc w:val="left"/>
            </w:pPr>
            <w:r>
              <w:rPr>
                <w:lang w:val="en"/>
              </w:rPr>
              <w:t xml:space="preserve">1.8</w:t>
            </w:r>
          </w:p>
        </w:tc>
      </w:tr>
      <w:tr>
        <w:tc>
          <w:tcPr/>
          <w:p>
            <w:pPr>
              <w:pStyle w:val="Compact"/>
              <w:jc w:val="left"/>
            </w:pPr>
            <w:r>
              <w:rPr>
                <w:lang w:val="en"/>
              </w:rPr>
              <w:t xml:space="preserve">- Maritime transport services</w:t>
            </w:r>
          </w:p>
        </w:tc>
        <w:tc>
          <w:tcPr/>
          <w:p>
            <w:pPr>
              <w:pStyle w:val="Compact"/>
              <w:jc w:val="left"/>
            </w:pPr>
            <w:r>
              <w:rPr>
                <w:lang w:val="en"/>
              </w:rPr>
              <w:t xml:space="preserve">240</w:t>
            </w:r>
          </w:p>
        </w:tc>
        <w:tc>
          <w:tcPr/>
          <w:p>
            <w:pPr>
              <w:pStyle w:val="Compact"/>
              <w:jc w:val="left"/>
            </w:pPr>
            <w:r>
              <w:rPr>
                <w:lang w:val="en"/>
              </w:rPr>
              <w:t xml:space="preserve">2.0</w:t>
            </w:r>
          </w:p>
        </w:tc>
      </w:tr>
      <w:tr>
        <w:tc>
          <w:tcPr/>
          <w:p>
            <w:pPr>
              <w:pStyle w:val="Compact"/>
              <w:jc w:val="left"/>
            </w:pPr>
            <w:r>
              <w:rPr>
                <w:lang w:val="en"/>
              </w:rPr>
              <w:t xml:space="preserve">- Other ocean products</w:t>
            </w:r>
          </w:p>
        </w:tc>
        <w:tc>
          <w:tcPr/>
          <w:p>
            <w:pPr>
              <w:pStyle w:val="Compact"/>
              <w:jc w:val="left"/>
            </w:pPr>
            <w:r>
              <w:rPr>
                <w:lang w:val="en"/>
              </w:rPr>
              <w:t xml:space="preserve">165</w:t>
            </w:r>
          </w:p>
        </w:tc>
        <w:tc>
          <w:tcPr/>
          <w:p>
            <w:pPr>
              <w:pStyle w:val="Compact"/>
              <w:jc w:val="left"/>
            </w:pPr>
            <w:r>
              <w:rPr>
                <w:lang w:val="en"/>
              </w:rPr>
              <w:t xml:space="preserve">1.4</w:t>
            </w:r>
          </w:p>
        </w:tc>
      </w:tr>
      <w:tr>
        <w:tc>
          <w:tcPr/>
          <w:p>
            <w:pPr>
              <w:pStyle w:val="Compact"/>
              <w:jc w:val="left"/>
            </w:pPr>
            <w:r>
              <w:rPr>
                <w:lang w:val="en"/>
              </w:rPr>
              <w:t xml:space="preserve">Ocean economy imports</w:t>
            </w:r>
          </w:p>
        </w:tc>
        <w:tc>
          <w:tcPr/>
          <w:p>
            <w:pPr>
              <w:pStyle w:val="Compact"/>
              <w:jc w:val="left"/>
            </w:pPr>
            <w:r>
              <w:rPr>
                <w:lang w:val="en"/>
              </w:rPr>
              <w:t xml:space="preserve">480</w:t>
            </w:r>
          </w:p>
        </w:tc>
        <w:tc>
          <w:tcPr/>
          <w:p>
            <w:pPr>
              <w:pStyle w:val="Compact"/>
              <w:jc w:val="left"/>
            </w:pPr>
            <w:r>
              <w:rPr>
                <w:lang w:val="en"/>
              </w:rPr>
              <w:t xml:space="preserve">3.8</w:t>
            </w:r>
          </w:p>
        </w:tc>
      </w:tr>
      <w:tr>
        <w:tc>
          <w:tcPr/>
          <w:p>
            <w:pPr>
              <w:pStyle w:val="Compact"/>
              <w:jc w:val="left"/>
            </w:pPr>
            <w:r>
              <w:rPr>
                <w:lang w:val="en"/>
              </w:rPr>
              <w:t xml:space="preserve">Ocean trade balance</w:t>
            </w:r>
          </w:p>
        </w:tc>
        <w:tc>
          <w:tcPr/>
          <w:p>
            <w:pPr>
              <w:pStyle w:val="Compact"/>
              <w:jc w:val="left"/>
            </w:pPr>
            <w:r>
              <w:rPr>
                <w:lang w:val="en"/>
              </w:rPr>
              <w:t xml:space="preserve">140</w:t>
            </w:r>
          </w:p>
        </w:tc>
        <w:tc>
          <w:tcPr/>
          <w:p>
            <w:pPr>
              <w:pStyle w:val="Compact"/>
              <w:jc w:val="left"/>
            </w:pPr>
            <w:r>
              <w:rPr>
                <w:lang w:val="en"/>
              </w:rPr>
              <w:t xml:space="preserve">—</w:t>
            </w:r>
          </w:p>
        </w:tc>
      </w:tr>
      <w:tr>
        <w:tc>
          <w:tcPr/>
          <w:p>
            <w:pPr>
              <w:pStyle w:val="Compact"/>
              <w:jc w:val="left"/>
            </w:pPr>
            <w:r>
              <w:rPr>
                <w:lang w:val="en"/>
              </w:rPr>
              <w:t xml:space="preserve">Ocean GFCF</w:t>
            </w:r>
          </w:p>
        </w:tc>
        <w:tc>
          <w:tcPr/>
          <w:p>
            <w:pPr>
              <w:pStyle w:val="Compact"/>
              <w:jc w:val="left"/>
            </w:pPr>
            <w:r>
              <w:rPr>
                <w:lang w:val="en"/>
              </w:rPr>
              <w:t xml:space="preserve">380</w:t>
            </w:r>
          </w:p>
        </w:tc>
        <w:tc>
          <w:tcPr/>
          <w:p>
            <w:pPr>
              <w:pStyle w:val="Compact"/>
              <w:jc w:val="left"/>
            </w:pPr>
            <w:r>
              <w:rPr>
                <w:lang w:val="en"/>
              </w:rPr>
              <w:t xml:space="preserve">3.5</w:t>
            </w:r>
          </w:p>
        </w:tc>
      </w:tr>
      <w:tr>
        <w:tc>
          <w:tcPr/>
          <w:p>
            <w:pPr>
              <w:pStyle w:val="Compact"/>
              <w:jc w:val="left"/>
            </w:pPr>
            <w:r>
              <w:rPr>
                <w:lang w:val="en"/>
              </w:rPr>
              <w:t xml:space="preserve">- Vessels</w:t>
            </w:r>
          </w:p>
        </w:tc>
        <w:tc>
          <w:tcPr/>
          <w:p>
            <w:pPr>
              <w:pStyle w:val="Compact"/>
              <w:jc w:val="left"/>
            </w:pPr>
            <w:r>
              <w:rPr>
                <w:lang w:val="en"/>
              </w:rPr>
              <w:t xml:space="preserve">95</w:t>
            </w:r>
          </w:p>
        </w:tc>
        <w:tc>
          <w:tcPr/>
          <w:p>
            <w:pPr>
              <w:pStyle w:val="Compact"/>
              <w:jc w:val="left"/>
            </w:pPr>
            <w:r>
              <w:rPr>
                <w:lang w:val="en"/>
              </w:rPr>
              <w:t xml:space="preserve">—</w:t>
            </w:r>
          </w:p>
        </w:tc>
      </w:tr>
      <w:tr>
        <w:tc>
          <w:tcPr/>
          <w:p>
            <w:pPr>
              <w:pStyle w:val="Compact"/>
              <w:jc w:val="left"/>
            </w:pPr>
            <w:r>
              <w:rPr>
                <w:lang w:val="en"/>
              </w:rPr>
              <w:t xml:space="preserve">- Port infrastructure</w:t>
            </w:r>
          </w:p>
        </w:tc>
        <w:tc>
          <w:tcPr/>
          <w:p>
            <w:pPr>
              <w:pStyle w:val="Compact"/>
              <w:jc w:val="left"/>
            </w:pPr>
            <w:r>
              <w:rPr>
                <w:lang w:val="en"/>
              </w:rPr>
              <w:t xml:space="preserve">110</w:t>
            </w:r>
          </w:p>
        </w:tc>
        <w:tc>
          <w:tcPr/>
          <w:p>
            <w:pPr>
              <w:pStyle w:val="Compact"/>
              <w:jc w:val="left"/>
            </w:pPr>
            <w:r>
              <w:rPr>
                <w:lang w:val="en"/>
              </w:rPr>
              <w:t xml:space="preserve">—</w:t>
            </w:r>
          </w:p>
        </w:tc>
      </w:tr>
      <w:tr>
        <w:tc>
          <w:tcPr/>
          <w:p>
            <w:pPr>
              <w:pStyle w:val="Compact"/>
              <w:jc w:val="left"/>
            </w:pPr>
            <w:r>
              <w:rPr>
                <w:lang w:val="en"/>
              </w:rPr>
              <w:t xml:space="preserve">- Offshore installations</w:t>
            </w:r>
          </w:p>
        </w:tc>
        <w:tc>
          <w:tcPr/>
          <w:p>
            <w:pPr>
              <w:pStyle w:val="Compact"/>
              <w:jc w:val="left"/>
            </w:pPr>
            <w:r>
              <w:rPr>
                <w:lang w:val="en"/>
              </w:rPr>
              <w:t xml:space="preserve">125</w:t>
            </w:r>
          </w:p>
        </w:tc>
        <w:tc>
          <w:tcPr/>
          <w:p>
            <w:pPr>
              <w:pStyle w:val="Compact"/>
              <w:jc w:val="left"/>
            </w:pPr>
            <w:r>
              <w:rPr>
                <w:lang w:val="en"/>
              </w:rPr>
              <w:t xml:space="preserve">—</w:t>
            </w:r>
          </w:p>
        </w:tc>
      </w:tr>
      <w:tr>
        <w:tc>
          <w:tcPr/>
          <w:p>
            <w:pPr>
              <w:pStyle w:val="Compact"/>
              <w:jc w:val="left"/>
            </w:pPr>
            <w:r>
              <w:rPr>
                <w:lang w:val="en"/>
              </w:rPr>
              <w:t xml:space="preserve">- Other ocean assets</w:t>
            </w:r>
          </w:p>
        </w:tc>
        <w:tc>
          <w:tcPr/>
          <w:p>
            <w:pPr>
              <w:pStyle w:val="Compact"/>
              <w:jc w:val="left"/>
            </w:pPr>
            <w:r>
              <w:rPr>
                <w:lang w:val="en"/>
              </w:rPr>
              <w:t xml:space="preserve">50</w:t>
            </w:r>
          </w:p>
        </w:tc>
        <w:tc>
          <w:tcPr/>
          <w:p>
            <w:pPr>
              <w:pStyle w:val="Compact"/>
              <w:jc w:val="left"/>
            </w:pPr>
            <w:r>
              <w:rPr>
                <w:lang w:val="en"/>
              </w:rPr>
              <w:t xml:space="preserve">—</w:t>
            </w:r>
          </w:p>
        </w:tc>
      </w:tr>
      <w:tr>
        <w:tc>
          <w:tcPr/>
          <w:p>
            <w:pPr>
              <w:pStyle w:val="Compact"/>
              <w:jc w:val="left"/>
            </w:pPr>
            <w:r>
              <w:rPr>
                <w:lang w:val="en"/>
              </w:rPr>
              <w:t xml:space="preserve">FDI stock in ocean industries</w:t>
            </w:r>
          </w:p>
        </w:tc>
        <w:tc>
          <w:tcPr/>
          <w:p>
            <w:pPr>
              <w:pStyle w:val="Compact"/>
              <w:jc w:val="left"/>
            </w:pPr>
            <w:r>
              <w:rPr>
                <w:lang w:val="en"/>
              </w:rPr>
              <w:t xml:space="preserve">1,200</w:t>
            </w:r>
          </w:p>
        </w:tc>
        <w:tc>
          <w:tcPr/>
          <w:p>
            <w:pPr>
              <w:pStyle w:val="Compact"/>
              <w:jc w:val="left"/>
            </w:pPr>
            <w:r>
              <w:rPr>
                <w:lang w:val="en"/>
              </w:rPr>
              <w:t xml:space="preserve">4.8</w:t>
            </w:r>
          </w:p>
        </w:tc>
      </w:tr>
    </w:tbl>
    <w:bookmarkStart w:id="138" w:name="X0cf9c295ffe866b2eed80c233400ae697962641"/>
    <w:p>
      <w:pPr>
        <w:pStyle w:val="Heading4"/>
      </w:pPr>
      <w:r>
        <w:rPr>
          <w:lang w:val="en"/>
        </w:rPr>
        <w:t xml:space="preserve">Government expenditure on ocean-related functions</w:t>
      </w:r>
    </w:p>
    <w:p>
      <w:pPr>
        <w:pStyle w:val="FirstParagraph"/>
      </w:pPr>
      <w:hyperlink w:anchor="X0cf9c295ffe866b2eed80c233400ae697962641">
        <w:r>
          <w:drawing>
            <wp:inline>
              <wp:extent cx="152400" cy="152400"/>
              <wp:effectExtent b="0" l="0" r="0" t="0"/>
              <wp:docPr descr="" title="" id="1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“Government expenditure on ocean-related functions”</w:t>
        </w:r>
      </w:hyperlink>
    </w:p>
    <w:bookmarkEnd w:id="138"/>
    <w:p>
      <w:pPr>
        <w:pStyle w:val="BodyText"/>
      </w:pPr>
      <w:r>
        <w:rPr>
          <w:lang w:val="en"/>
        </w:rPr>
        <w:t xml:space="preserve">¶1</w:t>
      </w:r>
      <w:r>
        <w:rPr>
          <w:lang w:val="en"/>
        </w:rPr>
        <w:t xml:space="preserve"> </w:t>
      </w:r>
      <w:r>
        <w:rPr>
          <w:lang w:val="en"/>
        </w:rPr>
        <w:t xml:space="preserve">Government expenditure on ocean-related activities can be identified using the Classification of the Functions of Government (COFOG)</w:t>
      </w:r>
      <w:hyperlink w:anchor="user-content-fn-24">
        <w:r>
          <w:rPr>
            <w:rStyle w:val="Hyperlink"/>
            <w:vertAlign w:val="superscript"/>
            <w:lang w:val="en"/>
          </w:rPr>
          <w:t xml:space="preserve">24</w:t>
        </w:r>
      </w:hyperlink>
      <w:r>
        <w:rPr>
          <w:lang w:val="en"/>
        </w:rPr>
        <w:t xml:space="preserve">. Table 3.4 maps specific COFOG classes to ocean-related government functions, adapted from the SF-MST approach to identifying tourism-related government functions (SF-MST Table 3.9)</w:t>
      </w:r>
      <w:hyperlink w:anchor="user-content-fn-25">
        <w:r>
          <w:rPr>
            <w:rStyle w:val="Hyperlink"/>
            <w:vertAlign w:val="superscript"/>
            <w:lang w:val="en"/>
          </w:rPr>
          <w:t xml:space="preserve">25</w:t>
        </w:r>
      </w:hyperlink>
      <w:r>
        <w:rPr>
          <w:lang w:val="en"/>
        </w:rPr>
        <w:t xml:space="preserve">.</w:t>
      </w:r>
    </w:p>
    <w:p>
      <w:pPr>
        <w:pStyle w:val="BodyText"/>
      </w:pPr>
      <w:r>
        <w:rPr>
          <w:lang w:val="en"/>
        </w:rPr>
        <w:t xml:space="preserve">¶2</w:t>
      </w:r>
      <w:r>
        <w:rPr>
          <w:lang w:val="en"/>
        </w:rPr>
        <w:t xml:space="preserve"> </w:t>
      </w:r>
      <w:r>
        <w:rPr>
          <w:bCs/>
          <w:b/>
          <w:lang w:val="en"/>
        </w:rPr>
        <w:t xml:space="preserve">Table 3.4: COFOG classes relevant to ocean economy functions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COFOG Division</w:t>
            </w:r>
          </w:p>
        </w:tc>
        <w:tc>
          <w:tcPr/>
          <w:p>
            <w:pPr>
              <w:pStyle w:val="Compact"/>
              <w:jc w:val="left"/>
            </w:pPr>
            <w:r>
              <w:rPr>
                <w:lang w:val="en"/>
              </w:rPr>
              <w:t xml:space="preserve">COFOG Class</w:t>
            </w:r>
          </w:p>
        </w:tc>
        <w:tc>
          <w:tcPr/>
          <w:p>
            <w:pPr>
              <w:pStyle w:val="Compact"/>
              <w:jc w:val="left"/>
            </w:pPr>
            <w:r>
              <w:rPr>
                <w:lang w:val="en"/>
              </w:rPr>
              <w:t xml:space="preserve">Ocean-related function</w:t>
            </w:r>
          </w:p>
        </w:tc>
      </w:tr>
      <w:tr>
        <w:tc>
          <w:tcPr/>
          <w:p>
            <w:pPr>
              <w:pStyle w:val="Compact"/>
              <w:jc w:val="left"/>
            </w:pPr>
            <w:r>
              <w:rPr>
                <w:lang w:val="en"/>
              </w:rPr>
              <w:t xml:space="preserve">01 General public services</w:t>
            </w:r>
          </w:p>
        </w:tc>
        <w:tc>
          <w:tcPr/>
          <w:p>
            <w:pPr>
              <w:pStyle w:val="Compact"/>
              <w:jc w:val="left"/>
            </w:pPr>
            <w:r>
              <w:rPr>
                <w:lang w:val="en"/>
              </w:rPr>
              <w:t xml:space="preserve">01.3 General services</w:t>
            </w:r>
          </w:p>
        </w:tc>
        <w:tc>
          <w:tcPr/>
          <w:p>
            <w:pPr>
              <w:pStyle w:val="Compact"/>
              <w:jc w:val="left"/>
            </w:pPr>
            <w:r>
              <w:rPr>
                <w:lang w:val="en"/>
              </w:rPr>
              <w:t xml:space="preserve">Maritime administration, hydrographic services</w:t>
            </w:r>
          </w:p>
        </w:tc>
      </w:tr>
      <w:tr>
        <w:tc>
          <w:tcPr/>
          <w:p>
            <w:pPr>
              <w:pStyle w:val="Compact"/>
              <w:jc w:val="left"/>
            </w:pPr>
            <w:r>
              <w:rPr>
                <w:lang w:val="en"/>
              </w:rPr>
              <w:t xml:space="preserve">03 Public order and safety</w:t>
            </w:r>
          </w:p>
        </w:tc>
        <w:tc>
          <w:tcPr/>
          <w:p>
            <w:pPr>
              <w:pStyle w:val="Compact"/>
              <w:jc w:val="left"/>
            </w:pPr>
            <w:r>
              <w:rPr>
                <w:lang w:val="en"/>
              </w:rPr>
              <w:t xml:space="preserve">03.1 Police services</w:t>
            </w:r>
          </w:p>
        </w:tc>
        <w:tc>
          <w:tcPr/>
          <w:p>
            <w:pPr>
              <w:pStyle w:val="Compact"/>
              <w:jc w:val="left"/>
            </w:pPr>
            <w:r>
              <w:rPr>
                <w:lang w:val="en"/>
              </w:rPr>
              <w:t xml:space="preserve">Coast guard, maritime enforcement</w:t>
            </w:r>
          </w:p>
        </w:tc>
      </w:tr>
      <w:tr>
        <w:tc>
          <w:tcPr/>
          <w:p>
            <w:pPr>
              <w:pStyle w:val="Compact"/>
              <w:jc w:val="left"/>
            </w:pPr>
            <w:r>
              <w:rPr>
                <w:lang w:val="en"/>
              </w:rPr>
              <w:t xml:space="preserve">04 Economic affairs</w:t>
            </w:r>
          </w:p>
        </w:tc>
        <w:tc>
          <w:tcPr/>
          <w:p>
            <w:pPr>
              <w:pStyle w:val="Compact"/>
              <w:jc w:val="left"/>
            </w:pPr>
            <w:r>
              <w:rPr>
                <w:lang w:val="en"/>
              </w:rPr>
              <w:t xml:space="preserve">04.2 Agriculture, forestry, fishing</w:t>
            </w:r>
          </w:p>
        </w:tc>
        <w:tc>
          <w:tcPr/>
          <w:p>
            <w:pPr>
              <w:pStyle w:val="Compact"/>
              <w:jc w:val="left"/>
            </w:pPr>
            <w:r>
              <w:rPr>
                <w:lang w:val="en"/>
              </w:rPr>
              <w:t xml:space="preserve">Fisheries management, aquaculture support</w:t>
            </w:r>
          </w:p>
        </w:tc>
      </w:tr>
      <w:tr>
        <w:tc>
          <w:tcPr/>
          <w:p>
            <w:pPr>
              <w:pStyle w:val="Compact"/>
              <w:jc w:val="left"/>
            </w:pPr>
            <w:r>
              <w:rPr>
                <w:lang w:val="en"/>
              </w:rPr>
              <w:t xml:space="preserve">04 Economic affairs</w:t>
            </w:r>
          </w:p>
        </w:tc>
        <w:tc>
          <w:tcPr/>
          <w:p>
            <w:pPr>
              <w:pStyle w:val="Compact"/>
              <w:jc w:val="left"/>
            </w:pPr>
            <w:r>
              <w:rPr>
                <w:lang w:val="en"/>
              </w:rPr>
              <w:t xml:space="preserve">04.5 Transport</w:t>
            </w:r>
          </w:p>
        </w:tc>
        <w:tc>
          <w:tcPr/>
          <w:p>
            <w:pPr>
              <w:pStyle w:val="Compact"/>
              <w:jc w:val="left"/>
            </w:pPr>
            <w:r>
              <w:rPr>
                <w:lang w:val="en"/>
              </w:rPr>
              <w:t xml:space="preserve">Maritime transport infrastructure, port development</w:t>
            </w:r>
          </w:p>
        </w:tc>
      </w:tr>
      <w:tr>
        <w:tc>
          <w:tcPr/>
          <w:p>
            <w:pPr>
              <w:pStyle w:val="Compact"/>
              <w:jc w:val="left"/>
            </w:pPr>
            <w:r>
              <w:rPr>
                <w:lang w:val="en"/>
              </w:rPr>
              <w:t xml:space="preserve">04 Economic affairs</w:t>
            </w:r>
          </w:p>
        </w:tc>
        <w:tc>
          <w:tcPr/>
          <w:p>
            <w:pPr>
              <w:pStyle w:val="Compact"/>
              <w:jc w:val="left"/>
            </w:pPr>
            <w:r>
              <w:rPr>
                <w:lang w:val="en"/>
              </w:rPr>
              <w:t xml:space="preserve">04.7 Other industries</w:t>
            </w:r>
          </w:p>
        </w:tc>
        <w:tc>
          <w:tcPr/>
          <w:p>
            <w:pPr>
              <w:pStyle w:val="Compact"/>
              <w:jc w:val="left"/>
            </w:pPr>
            <w:r>
              <w:rPr>
                <w:lang w:val="en"/>
              </w:rPr>
              <w:t xml:space="preserve">Marine biotechnology, ocean industry support</w:t>
            </w:r>
          </w:p>
        </w:tc>
      </w:tr>
      <w:tr>
        <w:tc>
          <w:tcPr/>
          <w:p>
            <w:pPr>
              <w:pStyle w:val="Compact"/>
              <w:jc w:val="left"/>
            </w:pPr>
            <w:r>
              <w:rPr>
                <w:lang w:val="en"/>
              </w:rPr>
              <w:t xml:space="preserve">05 Environmental protection</w:t>
            </w:r>
          </w:p>
        </w:tc>
        <w:tc>
          <w:tcPr/>
          <w:p>
            <w:pPr>
              <w:pStyle w:val="Compact"/>
              <w:jc w:val="left"/>
            </w:pPr>
            <w:r>
              <w:rPr>
                <w:lang w:val="en"/>
              </w:rPr>
              <w:t xml:space="preserve">05.1 Waste management</w:t>
            </w:r>
          </w:p>
        </w:tc>
        <w:tc>
          <w:tcPr/>
          <w:p>
            <w:pPr>
              <w:pStyle w:val="Compact"/>
              <w:jc w:val="left"/>
            </w:pPr>
            <w:r>
              <w:rPr>
                <w:lang w:val="en"/>
              </w:rPr>
              <w:t xml:space="preserve">Marine pollution remediation</w:t>
            </w:r>
          </w:p>
        </w:tc>
      </w:tr>
      <w:tr>
        <w:tc>
          <w:tcPr/>
          <w:p>
            <w:pPr>
              <w:pStyle w:val="Compact"/>
              <w:jc w:val="left"/>
            </w:pPr>
            <w:r>
              <w:rPr>
                <w:lang w:val="en"/>
              </w:rPr>
              <w:t xml:space="preserve">05 Environmental protection</w:t>
            </w:r>
          </w:p>
        </w:tc>
        <w:tc>
          <w:tcPr/>
          <w:p>
            <w:pPr>
              <w:pStyle w:val="Compact"/>
              <w:jc w:val="left"/>
            </w:pPr>
            <w:r>
              <w:rPr>
                <w:lang w:val="en"/>
              </w:rPr>
              <w:t xml:space="preserve">05.2 Wastewater management</w:t>
            </w:r>
          </w:p>
        </w:tc>
        <w:tc>
          <w:tcPr/>
          <w:p>
            <w:pPr>
              <w:pStyle w:val="Compact"/>
              <w:jc w:val="left"/>
            </w:pPr>
            <w:r>
              <w:rPr>
                <w:lang w:val="en"/>
              </w:rPr>
              <w:t xml:space="preserve">Coastal wastewater treatment</w:t>
            </w:r>
          </w:p>
        </w:tc>
      </w:tr>
      <w:tr>
        <w:tc>
          <w:tcPr/>
          <w:p>
            <w:pPr>
              <w:pStyle w:val="Compact"/>
              <w:jc w:val="left"/>
            </w:pPr>
            <w:r>
              <w:rPr>
                <w:lang w:val="en"/>
              </w:rPr>
              <w:t xml:space="preserve">05 Environmental protection</w:t>
            </w:r>
          </w:p>
        </w:tc>
        <w:tc>
          <w:tcPr/>
          <w:p>
            <w:pPr>
              <w:pStyle w:val="Compact"/>
              <w:jc w:val="left"/>
            </w:pPr>
            <w:r>
              <w:rPr>
                <w:lang w:val="en"/>
              </w:rPr>
              <w:t xml:space="preserve">05.4 Protection of biodiversity</w:t>
            </w:r>
          </w:p>
        </w:tc>
        <w:tc>
          <w:tcPr/>
          <w:p>
            <w:pPr>
              <w:pStyle w:val="Compact"/>
              <w:jc w:val="left"/>
            </w:pPr>
            <w:r>
              <w:rPr>
                <w:lang w:val="en"/>
              </w:rPr>
              <w:t xml:space="preserve">Marine protected area management</w:t>
            </w:r>
          </w:p>
        </w:tc>
      </w:tr>
      <w:tr>
        <w:tc>
          <w:tcPr/>
          <w:p>
            <w:pPr>
              <w:pStyle w:val="Compact"/>
              <w:jc w:val="left"/>
            </w:pPr>
            <w:r>
              <w:rPr>
                <w:lang w:val="en"/>
              </w:rPr>
              <w:t xml:space="preserve">06 Housing and community</w:t>
            </w:r>
          </w:p>
        </w:tc>
        <w:tc>
          <w:tcPr/>
          <w:p>
            <w:pPr>
              <w:pStyle w:val="Compact"/>
              <w:jc w:val="left"/>
            </w:pPr>
            <w:r>
              <w:rPr>
                <w:lang w:val="en"/>
              </w:rPr>
              <w:t xml:space="preserve">06.3 Water supply</w:t>
            </w:r>
          </w:p>
        </w:tc>
        <w:tc>
          <w:tcPr/>
          <w:p>
            <w:pPr>
              <w:pStyle w:val="Compact"/>
              <w:jc w:val="left"/>
            </w:pPr>
            <w:r>
              <w:rPr>
                <w:lang w:val="en"/>
              </w:rPr>
              <w:t xml:space="preserve">Desalination</w:t>
            </w:r>
          </w:p>
        </w:tc>
      </w:tr>
      <w:tr>
        <w:tc>
          <w:tcPr/>
          <w:p>
            <w:pPr>
              <w:pStyle w:val="Compact"/>
              <w:jc w:val="left"/>
            </w:pPr>
            <w:r>
              <w:rPr>
                <w:lang w:val="en"/>
              </w:rPr>
              <w:t xml:space="preserve">07 Health</w:t>
            </w:r>
          </w:p>
        </w:tc>
        <w:tc>
          <w:tcPr/>
          <w:p>
            <w:pPr>
              <w:pStyle w:val="Compact"/>
              <w:jc w:val="left"/>
            </w:pPr>
            <w:r>
              <w:rPr>
                <w:lang w:val="en"/>
              </w:rPr>
              <w:t xml:space="preserve">07.4 Public health services</w:t>
            </w:r>
          </w:p>
        </w:tc>
        <w:tc>
          <w:tcPr/>
          <w:p>
            <w:pPr>
              <w:pStyle w:val="Compact"/>
              <w:jc w:val="left"/>
            </w:pPr>
            <w:r>
              <w:rPr>
                <w:lang w:val="en"/>
              </w:rPr>
              <w:t xml:space="preserve">Marine food safety</w:t>
            </w:r>
          </w:p>
        </w:tc>
      </w:tr>
      <w:tr>
        <w:tc>
          <w:tcPr/>
          <w:p>
            <w:pPr>
              <w:pStyle w:val="Compact"/>
              <w:jc w:val="left"/>
            </w:pPr>
            <w:r>
              <w:rPr>
                <w:lang w:val="en"/>
              </w:rPr>
              <w:t xml:space="preserve">08 Recreation, culture</w:t>
            </w:r>
          </w:p>
        </w:tc>
        <w:tc>
          <w:tcPr/>
          <w:p>
            <w:pPr>
              <w:pStyle w:val="Compact"/>
              <w:jc w:val="left"/>
            </w:pPr>
            <w:r>
              <w:rPr>
                <w:lang w:val="en"/>
              </w:rPr>
              <w:t xml:space="preserve">08.1 Recreational and sporting</w:t>
            </w:r>
          </w:p>
        </w:tc>
        <w:tc>
          <w:tcPr/>
          <w:p>
            <w:pPr>
              <w:pStyle w:val="Compact"/>
              <w:jc w:val="left"/>
            </w:pPr>
            <w:r>
              <w:rPr>
                <w:lang w:val="en"/>
              </w:rPr>
              <w:t xml:space="preserve">Coastal recreation infrastructure</w:t>
            </w:r>
          </w:p>
        </w:tc>
      </w:tr>
      <w:tr>
        <w:tc>
          <w:tcPr/>
          <w:p>
            <w:pPr>
              <w:pStyle w:val="Compact"/>
              <w:jc w:val="left"/>
            </w:pPr>
            <w:r>
              <w:rPr>
                <w:lang w:val="en"/>
              </w:rPr>
              <w:t xml:space="preserve">09 Education</w:t>
            </w:r>
          </w:p>
        </w:tc>
        <w:tc>
          <w:tcPr/>
          <w:p>
            <w:pPr>
              <w:pStyle w:val="Compact"/>
              <w:jc w:val="left"/>
            </w:pPr>
            <w:r>
              <w:rPr>
                <w:lang w:val="en"/>
              </w:rPr>
              <w:t xml:space="preserve">09.4 Tertiary education</w:t>
            </w:r>
          </w:p>
        </w:tc>
        <w:tc>
          <w:tcPr/>
          <w:p>
            <w:pPr>
              <w:pStyle w:val="Compact"/>
              <w:jc w:val="left"/>
            </w:pPr>
            <w:r>
              <w:rPr>
                <w:lang w:val="en"/>
              </w:rPr>
              <w:t xml:space="preserve">Maritime education and training</w:t>
            </w:r>
          </w:p>
        </w:tc>
      </w:tr>
      <w:tr>
        <w:tc>
          <w:tcPr/>
          <w:p>
            <w:pPr>
              <w:pStyle w:val="Compact"/>
              <w:jc w:val="left"/>
            </w:pPr>
            <w:r>
              <w:rPr>
                <w:lang w:val="en"/>
              </w:rPr>
              <w:t xml:space="preserve">10 Social protection</w:t>
            </w:r>
          </w:p>
        </w:tc>
        <w:tc>
          <w:tcPr/>
          <w:p>
            <w:pPr>
              <w:pStyle w:val="Compact"/>
              <w:jc w:val="left"/>
            </w:pPr>
            <w:r>
              <w:rPr>
                <w:lang w:val="en"/>
              </w:rPr>
              <w:t xml:space="preserve">10.5 Unemployment</w:t>
            </w:r>
          </w:p>
        </w:tc>
        <w:tc>
          <w:tcPr/>
          <w:p>
            <w:pPr>
              <w:pStyle w:val="Compact"/>
              <w:jc w:val="left"/>
            </w:pPr>
            <w:r>
              <w:rPr>
                <w:lang w:val="en"/>
              </w:rPr>
              <w:t xml:space="preserve">Fisheries worker adjustment programmes</w:t>
            </w:r>
          </w:p>
        </w:tc>
      </w:tr>
    </w:tbl>
    <w:p>
      <w:pPr>
        <w:pStyle w:val="BodyText"/>
      </w:pPr>
      <w:r>
        <w:rPr>
          <w:lang w:val="en"/>
        </w:rPr>
        <w:t xml:space="preserve">¶3</w:t>
      </w:r>
      <w:r>
        <w:rPr>
          <w:lang w:val="en"/>
        </w:rPr>
        <w:t xml:space="preserve"> </w:t>
      </w:r>
      <w:r>
        <w:rPr>
          <w:lang w:val="en"/>
        </w:rPr>
        <w:t xml:space="preserve">This mapping supports analysis of public investment in ocean management addressed in</w:t>
      </w:r>
      <w:r>
        <w:rPr>
          <w:lang w:val="en"/>
        </w:rPr>
        <w:t xml:space="preserve"> </w:t>
      </w:r>
      <w:hyperlink r:id="rId33">
        <w:r>
          <w:rPr>
            <w:rStyle w:val="Hyperlink"/>
            <w:bCs/>
            <w:b/>
            <w:lang w:val="en"/>
          </w:rPr>
          <w:t xml:space="preserve">TG-1.1 OA and National Budget Processes</w:t>
        </w:r>
      </w:hyperlink>
      <w:r>
        <w:rPr>
          <w:lang w:val="en"/>
        </w:rPr>
        <w:t xml:space="preserve">.</w:t>
      </w:r>
    </w:p>
    <w:bookmarkStart w:id="141" w:name="Xa423ff8feff6362a5c965699a29946a67a36c23"/>
    <w:p>
      <w:pPr>
        <w:pStyle w:val="Heading3"/>
      </w:pPr>
      <w:r>
        <w:rPr>
          <w:lang w:val="en"/>
        </w:rPr>
        <w:t xml:space="preserve">3.7</w:t>
      </w:r>
      <w:r>
        <w:rPr>
          <w:lang w:val="en"/>
        </w:rPr>
        <w:t xml:space="preserve"> </w:t>
      </w:r>
      <w:r>
        <w:rPr>
          <w:lang w:val="en"/>
        </w:rPr>
        <w:t xml:space="preserve">Compilation Procedure</w:t>
      </w:r>
    </w:p>
    <w:p>
      <w:pPr>
        <w:pStyle w:val="FirstParagraph"/>
      </w:pPr>
      <w:hyperlink w:anchor="Xa423ff8feff6362a5c965699a29946a67a36c23">
        <w:r>
          <w:drawing>
            <wp:inline>
              <wp:extent cx="152400" cy="152400"/>
              <wp:effectExtent b="0" l="0" r="0" t="0"/>
              <wp:docPr descr="" title="" id="1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Compilation Procedure”</w:t>
        </w:r>
      </w:hyperlink>
    </w:p>
    <w:bookmarkEnd w:id="141"/>
    <w:p>
      <w:pPr>
        <w:pStyle w:val="BodyText"/>
      </w:pPr>
      <w:r>
        <w:rPr>
          <w:lang w:val="en"/>
        </w:rPr>
        <w:t xml:space="preserve">¶1</w:t>
      </w:r>
      <w:r>
        <w:rPr>
          <w:lang w:val="en"/>
        </w:rPr>
        <w:t xml:space="preserve"> </w:t>
      </w:r>
      <w:r>
        <w:rPr>
          <w:lang w:val="en"/>
        </w:rPr>
        <w:t xml:space="preserve">The procedure below is adapted from the SNA 2025 treatment of supply and use tables (Chapter 15, paras 15.9, 15.130—15.139) and draws on the analogous approach developed for tourism in the SF-MST (paras 2.30—2.31, 3.27—3.28)</w:t>
      </w:r>
      <w:hyperlink w:anchor="user-content-fn-26">
        <w:r>
          <w:rPr>
            <w:rStyle w:val="Hyperlink"/>
            <w:vertAlign w:val="superscript"/>
            <w:lang w:val="en"/>
          </w:rPr>
          <w:t xml:space="preserve">26</w:t>
        </w:r>
      </w:hyperlink>
      <w:r>
        <w:rPr>
          <w:lang w:val="en"/>
        </w:rPr>
        <w:t xml:space="preserve">.</w:t>
      </w:r>
    </w:p>
    <w:bookmarkStart w:id="144" w:name="step-by-step-compilation"/>
    <w:p>
      <w:pPr>
        <w:pStyle w:val="Heading4"/>
      </w:pPr>
      <w:r>
        <w:rPr>
          <w:lang w:val="en"/>
        </w:rPr>
        <w:t xml:space="preserve">Step-by-step compilation</w:t>
      </w:r>
    </w:p>
    <w:p>
      <w:pPr>
        <w:pStyle w:val="FirstParagraph"/>
      </w:pPr>
      <w:hyperlink w:anchor="step-by-step-compilation">
        <w:r>
          <w:drawing>
            <wp:inline>
              <wp:extent cx="152400" cy="152400"/>
              <wp:effectExtent b="0" l="0" r="0" t="0"/>
              <wp:docPr descr="" title="" id="1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“Step-by-step compilation”</w:t>
        </w:r>
      </w:hyperlink>
    </w:p>
    <w:bookmarkEnd w:id="144"/>
    <w:p>
      <w:pPr>
        <w:pStyle w:val="BodyText"/>
      </w:pPr>
      <w:r>
        <w:rPr>
          <w:lang w:val="en"/>
        </w:rPr>
        <w:t xml:space="preserve">¶1</w:t>
      </w:r>
      <w:r>
        <w:rPr>
          <w:lang w:val="en"/>
        </w:rPr>
        <w:t xml:space="preserve"> </w:t>
      </w:r>
      <w:r>
        <w:rPr>
          <w:bCs/>
          <w:b/>
          <w:lang w:val="en"/>
        </w:rPr>
        <w:t xml:space="preserve">Steps 1—5 are TG-3.3’s.</w:t>
      </w:r>
      <w:r>
        <w:rPr>
          <w:lang w:val="en"/>
        </w:rPr>
        <w:t xml:space="preserve"> </w:t>
      </w:r>
      <w:r>
        <w:rPr>
          <w:lang w:val="en"/>
        </w:rPr>
        <w:t xml:space="preserve">Identifying ocean industries through the ISIC concordance, extracting the sub-matrices from the balanced national SUTs, determining the ocean ratio for each partially ocean-related industry, computing Ocean Economy Direct GVA and adjusting for taxes less subsidies on products to reach Ocean Economy Direct GDP are all specified in</w:t>
      </w:r>
      <w:r>
        <w:rPr>
          <w:lang w:val="en"/>
        </w:rPr>
        <w:t xml:space="preserve"> </w:t>
      </w:r>
      <w:hyperlink r:id="rId32">
        <w:r>
          <w:rPr>
            <w:rStyle w:val="Hyperlink"/>
            <w:bCs/>
            <w:b/>
            <w:lang w:val="en"/>
          </w:rPr>
          <w:t xml:space="preserve">TG-3.3 Economic Activity Relevant to the Ocean</w:t>
        </w:r>
      </w:hyperlink>
      <w:r>
        <w:rPr>
          <w:lang w:val="en"/>
        </w:rPr>
        <w:t xml:space="preserve"> </w:t>
      </w:r>
      <w:r>
        <w:rPr>
          <w:lang w:val="en"/>
        </w:rPr>
        <w:t xml:space="preserve">Sections 3.4 and 3.5. They are not restated here.</w:t>
      </w:r>
    </w:p>
    <w:p>
      <w:pPr>
        <w:pStyle w:val="BodyText"/>
      </w:pPr>
      <w:r>
        <w:rPr>
          <w:lang w:val="en"/>
        </w:rPr>
        <w:t xml:space="preserve">¶2</w:t>
      </w:r>
      <w:r>
        <w:rPr>
          <w:lang w:val="en"/>
        </w:rPr>
        <w:t xml:space="preserve"> </w:t>
      </w:r>
      <w:r>
        <w:rPr>
          <w:lang w:val="en"/>
        </w:rPr>
        <w:t xml:space="preserve">What a compiler needs to check before deriving the indicators below is that the extract carries: GVA and employment</w:t>
      </w:r>
      <w:r>
        <w:rPr>
          <w:lang w:val="en"/>
        </w:rPr>
        <w:t xml:space="preserve"> </w:t>
      </w:r>
      <w:r>
        <w:rPr>
          <w:bCs/>
          <w:b/>
          <w:lang w:val="en"/>
        </w:rPr>
        <w:t xml:space="preserve">by industry</w:t>
      </w:r>
      <w:r>
        <w:rPr>
          <w:lang w:val="en"/>
        </w:rPr>
        <w:t xml:space="preserve"> </w:t>
      </w:r>
      <w:r>
        <w:rPr>
          <w:lang w:val="en"/>
        </w:rPr>
        <w:t xml:space="preserve">rather than as an ocean-economy total, the</w:t>
      </w:r>
      <w:r>
        <w:rPr>
          <w:lang w:val="en"/>
        </w:rPr>
        <w:t xml:space="preserve"> </w:t>
      </w:r>
      <w:r>
        <w:rPr>
          <w:bCs/>
          <w:b/>
          <w:lang w:val="en"/>
        </w:rPr>
        <w:t xml:space="preserve">ocean ratio and its estimation level</w:t>
      </w:r>
      <w:r>
        <w:rPr>
          <w:lang w:val="en"/>
        </w:rPr>
        <w:t xml:space="preserve"> </w:t>
      </w:r>
      <w:r>
        <w:rPr>
          <w:lang w:val="en"/>
        </w:rPr>
        <w:t xml:space="preserve">recorded per industry, and a consistent</w:t>
      </w:r>
      <w:r>
        <w:rPr>
          <w:lang w:val="en"/>
        </w:rPr>
        <w:t xml:space="preserve"> </w:t>
      </w:r>
      <w:r>
        <w:rPr>
          <w:bCs/>
          <w:b/>
          <w:lang w:val="en"/>
        </w:rPr>
        <w:t xml:space="preserve">employment measure</w:t>
      </w:r>
      <w:r>
        <w:rPr>
          <w:lang w:val="en"/>
        </w:rPr>
        <w:t xml:space="preserve"> </w:t>
      </w:r>
      <w:r>
        <w:rPr>
          <w:lang w:val="en"/>
        </w:rPr>
        <w:t xml:space="preserve">across numerator and denominator. Composition, productivity and structure indicators all require the disaggregation; the ratios cannot be recovered from a single total.</w:t>
      </w:r>
    </w:p>
    <w:p>
      <w:pPr>
        <w:pStyle w:val="BodyText"/>
      </w:pPr>
      <w:r>
        <w:rPr>
          <w:lang w:val="en"/>
        </w:rPr>
        <w:t xml:space="preserve">¶3</w:t>
      </w:r>
      <w:r>
        <w:rPr>
          <w:lang w:val="en"/>
        </w:rPr>
        <w:t xml:space="preserve"> </w:t>
      </w:r>
      <w:r>
        <w:rPr>
          <w:bCs/>
          <w:b/>
          <w:lang w:val="en"/>
        </w:rPr>
        <w:t xml:space="preserve">Step 6: Derive indicators from the ocean economy SUT extract.</w:t>
      </w:r>
      <w:r>
        <w:rPr>
          <w:lang w:val="en"/>
        </w:rPr>
        <w:t xml:space="preserve"> </w:t>
      </w:r>
      <w:r>
        <w:rPr>
          <w:lang w:val="en"/>
        </w:rPr>
        <w:t xml:space="preserve">Using the ocean economy sub-matrices and the ocean economy ratios, compute the full set of structural indicators described in Sections 3.2 through 3.6 of this Circular: sector composition indicators (GVA shares, employment shares, HHI), growth and productivity indicators, net GVA, employment structure, and trade and investment indicators.</w:t>
      </w:r>
    </w:p>
    <w:bookmarkStart w:id="147" w:name="data-pipeline"/>
    <w:p>
      <w:pPr>
        <w:pStyle w:val="Heading4"/>
      </w:pPr>
      <w:r>
        <w:rPr>
          <w:lang w:val="en"/>
        </w:rPr>
        <w:t xml:space="preserve">Data pipeline</w:t>
      </w:r>
    </w:p>
    <w:p>
      <w:pPr>
        <w:pStyle w:val="FirstParagraph"/>
      </w:pPr>
      <w:hyperlink w:anchor="data-pipeline">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“Data pipeline”</w:t>
        </w:r>
      </w:hyperlink>
    </w:p>
    <w:bookmarkEnd w:id="147"/>
    <w:p>
      <w:pPr>
        <w:pStyle w:val="BodyText"/>
      </w:pPr>
      <w:r>
        <w:rPr>
          <w:lang w:val="en"/>
        </w:rPr>
        <w:t xml:space="preserve">¶1</w:t>
      </w:r>
      <w:r>
        <w:rPr>
          <w:lang w:val="en"/>
        </w:rPr>
        <w:t xml:space="preserve"> </w:t>
      </w:r>
      <w:r>
        <w:rPr>
          <w:lang w:val="en"/>
        </w:rPr>
        <w:t xml:space="preserve">Raw data are collected through surveys (</w:t>
      </w:r>
      <w:hyperlink r:id="rId148">
        <w:r>
          <w:rPr>
            <w:rStyle w:val="Hyperlink"/>
            <w:bCs/>
            <w:b/>
            <w:lang w:val="en"/>
          </w:rPr>
          <w:t xml:space="preserve">TG-4.2</w:t>
        </w:r>
      </w:hyperlink>
      <w:r>
        <w:rPr>
          <w:lang w:val="en"/>
        </w:rPr>
        <w:t xml:space="preserve">) and administrative records (</w:t>
      </w:r>
      <w:hyperlink r:id="rId149">
        <w:r>
          <w:rPr>
            <w:rStyle w:val="Hyperlink"/>
            <w:bCs/>
            <w:b/>
            <w:lang w:val="en"/>
          </w:rPr>
          <w:t xml:space="preserve">TG-4.3</w:t>
        </w:r>
      </w:hyperlink>
      <w:r>
        <w:rPr>
          <w:lang w:val="en"/>
        </w:rPr>
        <w:t xml:space="preserve">), harmonised (</w:t>
      </w:r>
      <w:hyperlink r:id="rId150">
        <w:r>
          <w:rPr>
            <w:rStyle w:val="Hyperlink"/>
            <w:bCs/>
            <w:b/>
            <w:lang w:val="en"/>
          </w:rPr>
          <w:t xml:space="preserve">TG-4.6</w:t>
        </w:r>
      </w:hyperlink>
      <w:r>
        <w:rPr>
          <w:lang w:val="en"/>
        </w:rPr>
        <w:t xml:space="preserve">), and compiled into ocean economy thematic accounts (</w:t>
      </w:r>
      <w:hyperlink r:id="rId32">
        <w:r>
          <w:rPr>
            <w:rStyle w:val="Hyperlink"/>
            <w:bCs/>
            <w:b/>
            <w:lang w:val="en"/>
          </w:rPr>
          <w:t xml:space="preserve">TG-3.3</w:t>
        </w:r>
      </w:hyperlink>
      <w:r>
        <w:rPr>
          <w:lang w:val="en"/>
        </w:rPr>
        <w:t xml:space="preserve">). The indicator formulas in this Circular are then applied to produce structural indicators, which are formatted for policy application in national budget processes (</w:t>
      </w:r>
      <w:hyperlink r:id="rId33">
        <w:r>
          <w:rPr>
            <w:rStyle w:val="Hyperlink"/>
            <w:bCs/>
            <w:b/>
            <w:lang w:val="en"/>
          </w:rPr>
          <w:t xml:space="preserve">TG-1.1</w:t>
        </w:r>
      </w:hyperlink>
      <w:r>
        <w:rPr>
          <w:lang w:val="en"/>
        </w:rPr>
        <w:t xml:space="preserve">) and international reporting (</w:t>
      </w:r>
      <w:hyperlink r:id="rId34">
        <w:r>
          <w:rPr>
            <w:rStyle w:val="Hyperlink"/>
            <w:bCs/>
            <w:b/>
            <w:lang w:val="en"/>
          </w:rPr>
          <w:t xml:space="preserve">TG-2.10</w:t>
        </w:r>
      </w:hyperlink>
      <w:r>
        <w:rPr>
          <w:lang w:val="en"/>
        </w:rPr>
        <w:t xml:space="preserve">).</w:t>
      </w:r>
    </w:p>
    <w:bookmarkStart w:id="153" w:name="X5073c47cba95ddaf2d0ab1a51056643c8a190ef"/>
    <w:p>
      <w:pPr>
        <w:pStyle w:val="Heading3"/>
      </w:pPr>
      <w:r>
        <w:rPr>
          <w:lang w:val="en"/>
        </w:rPr>
        <w:t xml:space="preserve">3.8</w:t>
      </w:r>
      <w:r>
        <w:rPr>
          <w:lang w:val="en"/>
        </w:rPr>
        <w:t xml:space="preserve"> </w:t>
      </w:r>
      <w:r>
        <w:rPr>
          <w:lang w:val="en"/>
        </w:rPr>
        <w:t xml:space="preserve">Compilation Considerations</w:t>
      </w:r>
    </w:p>
    <w:p>
      <w:pPr>
        <w:pStyle w:val="FirstParagraph"/>
      </w:pPr>
      <w:hyperlink w:anchor="X5073c47cba95ddaf2d0ab1a51056643c8a190ef">
        <w:r>
          <w:drawing>
            <wp:inline>
              <wp:extent cx="152400" cy="152400"/>
              <wp:effectExtent b="0" l="0" r="0" t="0"/>
              <wp:docPr descr="" title="" id="1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Compilation Considerations”</w:t>
        </w:r>
      </w:hyperlink>
    </w:p>
    <w:bookmarkEnd w:id="153"/>
    <w:bookmarkStart w:id="156" w:name="data-sources"/>
    <w:p>
      <w:pPr>
        <w:pStyle w:val="Heading4"/>
      </w:pPr>
      <w:r>
        <w:rPr>
          <w:lang w:val="en"/>
        </w:rPr>
        <w:t xml:space="preserve">Data sources</w:t>
      </w:r>
    </w:p>
    <w:p>
      <w:pPr>
        <w:pStyle w:val="FirstParagraph"/>
      </w:pPr>
      <w:hyperlink w:anchor="data-sources">
        <w:r>
          <w:drawing>
            <wp:inline>
              <wp:extent cx="152400" cy="152400"/>
              <wp:effectExtent b="0" l="0" r="0" t="0"/>
              <wp:docPr descr="" title="" id="1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“Data sources”</w:t>
        </w:r>
      </w:hyperlink>
    </w:p>
    <w:bookmarkEnd w:id="156"/>
    <w:p>
      <w:pPr>
        <w:pStyle w:val="BodyText"/>
      </w:pPr>
      <w:r>
        <w:rPr>
          <w:lang w:val="en"/>
        </w:rPr>
        <w:t xml:space="preserve">¶1</w:t>
      </w:r>
      <w:r>
        <w:rPr>
          <w:lang w:val="en"/>
        </w:rPr>
        <w:t xml:space="preserve"> </w:t>
      </w:r>
      <w:r>
        <w:rPr>
          <w:lang w:val="en"/>
        </w:rPr>
        <w:t xml:space="preserve">Key data sources include</w:t>
      </w:r>
      <w:hyperlink w:anchor="user-content-fn-27">
        <w:r>
          <w:rPr>
            <w:rStyle w:val="Hyperlink"/>
            <w:vertAlign w:val="superscript"/>
            <w:lang w:val="en"/>
          </w:rPr>
          <w:t xml:space="preserve">27</w:t>
        </w:r>
      </w:hyperlink>
      <w:r>
        <w:rPr>
          <w:lang w:val="en"/>
        </w:rPr>
        <w:t xml:space="preserve">:</w:t>
      </w:r>
    </w:p>
    <w:p>
      <w:pPr>
        <w:numPr>
          <w:ilvl w:val="0"/>
          <w:numId w:val="1021"/>
        </w:numPr>
        <w:pStyle w:val="Compact"/>
      </w:pPr>
      <w:r>
        <w:rPr>
          <w:lang w:val="en"/>
        </w:rPr>
        <w:t xml:space="preserve">¶2</w:t>
      </w:r>
      <w:r>
        <w:rPr>
          <w:lang w:val="en"/>
        </w:rPr>
        <w:t xml:space="preserve"> </w:t>
      </w:r>
      <w:r>
        <w:rPr>
          <w:lang w:val="en"/>
        </w:rPr>
        <w:t xml:space="preserve">National accounts (supply and use tables, production accounts)</w:t>
      </w:r>
    </w:p>
    <w:p>
      <w:pPr>
        <w:numPr>
          <w:ilvl w:val="0"/>
          <w:numId w:val="1021"/>
        </w:numPr>
        <w:pStyle w:val="Compact"/>
      </w:pPr>
      <w:r>
        <w:rPr>
          <w:lang w:val="en"/>
        </w:rPr>
        <w:t xml:space="preserve">¶3</w:t>
      </w:r>
      <w:r>
        <w:rPr>
          <w:lang w:val="en"/>
        </w:rPr>
        <w:t xml:space="preserve"> </w:t>
      </w:r>
      <w:r>
        <w:rPr>
          <w:lang w:val="en"/>
        </w:rPr>
        <w:t xml:space="preserve">Business surveys and censuses</w:t>
      </w:r>
    </w:p>
    <w:p>
      <w:pPr>
        <w:numPr>
          <w:ilvl w:val="0"/>
          <w:numId w:val="1021"/>
        </w:numPr>
        <w:pStyle w:val="Compact"/>
      </w:pPr>
      <w:r>
        <w:rPr>
          <w:lang w:val="en"/>
        </w:rPr>
        <w:t xml:space="preserve">¶4</w:t>
      </w:r>
      <w:r>
        <w:rPr>
          <w:lang w:val="en"/>
        </w:rPr>
        <w:t xml:space="preserve"> </w:t>
      </w:r>
      <w:r>
        <w:rPr>
          <w:lang w:val="en"/>
        </w:rPr>
        <w:t xml:space="preserve">Labour force surveys</w:t>
      </w:r>
    </w:p>
    <w:p>
      <w:pPr>
        <w:numPr>
          <w:ilvl w:val="0"/>
          <w:numId w:val="1021"/>
        </w:numPr>
        <w:pStyle w:val="Compact"/>
      </w:pPr>
      <w:r>
        <w:rPr>
          <w:lang w:val="en"/>
        </w:rPr>
        <w:t xml:space="preserve">¶5</w:t>
      </w:r>
      <w:r>
        <w:rPr>
          <w:lang w:val="en"/>
        </w:rPr>
        <w:t xml:space="preserve"> </w:t>
      </w:r>
      <w:r>
        <w:rPr>
          <w:lang w:val="en"/>
        </w:rPr>
        <w:t xml:space="preserve">Trade statistics</w:t>
      </w:r>
    </w:p>
    <w:p>
      <w:pPr>
        <w:numPr>
          <w:ilvl w:val="0"/>
          <w:numId w:val="1021"/>
        </w:numPr>
        <w:pStyle w:val="Compact"/>
      </w:pPr>
      <w:r>
        <w:rPr>
          <w:lang w:val="en"/>
        </w:rPr>
        <w:t xml:space="preserve">¶6</w:t>
      </w:r>
      <w:r>
        <w:rPr>
          <w:lang w:val="en"/>
        </w:rPr>
        <w:t xml:space="preserve"> </w:t>
      </w:r>
      <w:r>
        <w:rPr>
          <w:lang w:val="en"/>
        </w:rPr>
        <w:t xml:space="preserve">Administrative records (vessel registries, port authorities, fishing licences)</w:t>
      </w:r>
    </w:p>
    <w:p>
      <w:pPr>
        <w:pStyle w:val="FirstParagraph"/>
      </w:pPr>
      <w:r>
        <w:rPr>
          <w:lang w:val="en"/>
        </w:rPr>
        <w:t xml:space="preserve">¶7</w:t>
      </w:r>
      <w:r>
        <w:rPr>
          <w:lang w:val="en"/>
        </w:rPr>
        <w:t xml:space="preserve"> </w:t>
      </w:r>
      <w:r>
        <w:rPr>
          <w:lang w:val="en"/>
        </w:rPr>
        <w:t xml:space="preserve">Detailed guidance on the utilisation of these data sources is provided in</w:t>
      </w:r>
      <w:r>
        <w:rPr>
          <w:lang w:val="en"/>
        </w:rPr>
        <w:t xml:space="preserve"> </w:t>
      </w:r>
      <w:hyperlink r:id="rId148">
        <w:r>
          <w:rPr>
            <w:rStyle w:val="Hyperlink"/>
            <w:bCs/>
            <w:b/>
            <w:lang w:val="en"/>
          </w:rPr>
          <w:t xml:space="preserve">TG-4.2 Survey Methods for Ocean Economic Activity</w:t>
        </w:r>
      </w:hyperlink>
      <w:r>
        <w:rPr>
          <w:lang w:val="en"/>
        </w:rPr>
        <w:t xml:space="preserve">,</w:t>
      </w:r>
      <w:r>
        <w:rPr>
          <w:lang w:val="en"/>
        </w:rPr>
        <w:t xml:space="preserve"> </w:t>
      </w:r>
      <w:hyperlink r:id="rId149">
        <w:r>
          <w:rPr>
            <w:rStyle w:val="Hyperlink"/>
            <w:bCs/>
            <w:b/>
            <w:lang w:val="en"/>
          </w:rPr>
          <w:t xml:space="preserve">TG-4.3 Administrative Data Sources</w:t>
        </w:r>
      </w:hyperlink>
      <w:r>
        <w:rPr>
          <w:lang w:val="en"/>
        </w:rPr>
        <w:t xml:space="preserve">, and</w:t>
      </w:r>
      <w:r>
        <w:rPr>
          <w:lang w:val="en"/>
        </w:rPr>
        <w:t xml:space="preserve"> </w:t>
      </w:r>
      <w:hyperlink r:id="rId150">
        <w:r>
          <w:rPr>
            <w:rStyle w:val="Hyperlink"/>
            <w:bCs/>
            <w:b/>
            <w:lang w:val="en"/>
          </w:rPr>
          <w:t xml:space="preserve">TG-4.6 Data Harmonisation and Interoperability</w:t>
        </w:r>
      </w:hyperlink>
      <w:r>
        <w:rPr>
          <w:lang w:val="en"/>
        </w:rPr>
        <w:t xml:space="preserve">.</w:t>
      </w:r>
    </w:p>
    <w:bookmarkStart w:id="159" w:name="Xdcdeb3a6bb67ffa9738440aa2732edbba11dfd2"/>
    <w:p>
      <w:pPr>
        <w:pStyle w:val="Heading4"/>
      </w:pPr>
      <w:r>
        <w:rPr>
          <w:lang w:val="en"/>
        </w:rPr>
        <w:t xml:space="preserve">Informal economy and indicator reliability</w:t>
      </w:r>
    </w:p>
    <w:p>
      <w:pPr>
        <w:pStyle w:val="FirstParagraph"/>
      </w:pPr>
      <w:hyperlink w:anchor="Xdcdeb3a6bb67ffa9738440aa2732edbba11dfd2">
        <w:r>
          <w:drawing>
            <wp:inline>
              <wp:extent cx="152400" cy="152400"/>
              <wp:effectExtent b="0" l="0" r="0" t="0"/>
              <wp:docPr descr="" title="" id="1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“Informal economy and indicator reliability”</w:t>
        </w:r>
      </w:hyperlink>
    </w:p>
    <w:bookmarkEnd w:id="159"/>
    <w:p>
      <w:pPr>
        <w:pStyle w:val="BodyText"/>
      </w:pPr>
      <w:r>
        <w:rPr>
          <w:lang w:val="en"/>
        </w:rPr>
        <w:t xml:space="preserve">¶1</w:t>
      </w:r>
      <w:r>
        <w:rPr>
          <w:lang w:val="en"/>
        </w:rPr>
        <w:t xml:space="preserve"> </w:t>
      </w:r>
      <w:r>
        <w:rPr>
          <w:lang w:val="en"/>
        </w:rPr>
        <w:t xml:space="preserve">Structural indicators may understate the full extent of the ocean economy where informal economic activities are significant. Small-scale fisheries, artisanal aquaculture, informal coastal tourism services, and subsistence marine harvesting are often inadequately captured by standard business surveys and national accounts. In countries where informal activities constitute a substantial share of ocean-related production and employment, the indicators derived from formal data sources may present an incomplete picture of the ocean economy’s true size and structure. Compilers should document the estimated coverage of formal data sources relative to the full ocean economy, identify sectors where informal activity is likely to be most significant, and consider the supplementary estimation methods described in</w:t>
      </w:r>
      <w:r>
        <w:rPr>
          <w:lang w:val="en"/>
        </w:rPr>
        <w:t xml:space="preserve"> </w:t>
      </w:r>
      <w:hyperlink r:id="rId148">
        <w:r>
          <w:rPr>
            <w:rStyle w:val="Hyperlink"/>
            <w:bCs/>
            <w:b/>
            <w:lang w:val="en"/>
          </w:rPr>
          <w:t xml:space="preserve">TG-4.2</w:t>
        </w:r>
      </w:hyperlink>
      <w:r>
        <w:rPr>
          <w:lang w:val="en"/>
        </w:rPr>
        <w:t xml:space="preserve"> </w:t>
      </w:r>
      <w:r>
        <w:rPr>
          <w:lang w:val="en"/>
        </w:rPr>
        <w:t xml:space="preserve">and</w:t>
      </w:r>
      <w:r>
        <w:rPr>
          <w:lang w:val="en"/>
        </w:rPr>
        <w:t xml:space="preserve"> </w:t>
      </w:r>
      <w:hyperlink r:id="rId149">
        <w:r>
          <w:rPr>
            <w:rStyle w:val="Hyperlink"/>
            <w:bCs/>
            <w:b/>
            <w:lang w:val="en"/>
          </w:rPr>
          <w:t xml:space="preserve">TG-4.3</w:t>
        </w:r>
      </w:hyperlink>
      <w:r>
        <w:rPr>
          <w:lang w:val="en"/>
        </w:rPr>
        <w:t xml:space="preserve"> </w:t>
      </w:r>
      <w:r>
        <w:rPr>
          <w:lang w:val="en"/>
        </w:rPr>
        <w:t xml:space="preserve">for improving coverage of informal activities. Reporting these coverage limitations alongside the indicators lets users interpret aggregate statistics with appropriate caution.</w:t>
      </w:r>
    </w:p>
    <w:bookmarkStart w:id="162" w:name="quality-indicators"/>
    <w:p>
      <w:pPr>
        <w:pStyle w:val="Heading4"/>
      </w:pPr>
      <w:r>
        <w:rPr>
          <w:lang w:val="en"/>
        </w:rPr>
        <w:t xml:space="preserve">Quality indicators</w:t>
      </w:r>
    </w:p>
    <w:p>
      <w:pPr>
        <w:pStyle w:val="FirstParagraph"/>
      </w:pPr>
      <w:hyperlink w:anchor="quality-indicators">
        <w:r>
          <w:drawing>
            <wp:inline>
              <wp:extent cx="152400" cy="152400"/>
              <wp:effectExtent b="0" l="0" r="0" t="0"/>
              <wp:docPr descr="" title="" id="1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“Quality indicators”</w:t>
        </w:r>
      </w:hyperlink>
    </w:p>
    <w:bookmarkEnd w:id="162"/>
    <w:p>
      <w:pPr>
        <w:pStyle w:val="BodyText"/>
      </w:pPr>
      <w:r>
        <w:rPr>
          <w:lang w:val="en"/>
        </w:rPr>
        <w:t xml:space="preserve">¶1</w:t>
      </w:r>
      <w:r>
        <w:rPr>
          <w:lang w:val="en"/>
        </w:rPr>
        <w:t xml:space="preserve"> </w:t>
      </w:r>
      <w:r>
        <w:rPr>
          <w:lang w:val="en"/>
        </w:rPr>
        <w:t xml:space="preserve">Compilers should document:</w:t>
      </w:r>
    </w:p>
    <w:p>
      <w:pPr>
        <w:numPr>
          <w:ilvl w:val="0"/>
          <w:numId w:val="1022"/>
        </w:numPr>
        <w:pStyle w:val="Compact"/>
      </w:pPr>
      <w:r>
        <w:rPr>
          <w:lang w:val="en"/>
        </w:rPr>
        <w:t xml:space="preserve">¶2</w:t>
      </w:r>
      <w:r>
        <w:rPr>
          <w:lang w:val="en"/>
        </w:rPr>
        <w:t xml:space="preserve"> </w:t>
      </w:r>
      <w:r>
        <w:rPr>
          <w:lang w:val="en"/>
        </w:rPr>
        <w:t xml:space="preserve">Coverage (which industries and products are included)</w:t>
      </w:r>
    </w:p>
    <w:p>
      <w:pPr>
        <w:numPr>
          <w:ilvl w:val="0"/>
          <w:numId w:val="1022"/>
        </w:numPr>
        <w:pStyle w:val="Compact"/>
      </w:pPr>
      <w:r>
        <w:rPr>
          <w:lang w:val="en"/>
        </w:rPr>
        <w:t xml:space="preserve">¶3</w:t>
      </w:r>
      <w:r>
        <w:rPr>
          <w:lang w:val="en"/>
        </w:rPr>
        <w:t xml:space="preserve"> </w:t>
      </w:r>
      <w:r>
        <w:rPr>
          <w:lang w:val="en"/>
        </w:rPr>
        <w:t xml:space="preserve">Methods for estimating ocean-related shares of mixed industries</w:t>
      </w:r>
    </w:p>
    <w:p>
      <w:pPr>
        <w:numPr>
          <w:ilvl w:val="0"/>
          <w:numId w:val="1022"/>
        </w:numPr>
        <w:pStyle w:val="Compact"/>
      </w:pPr>
      <w:r>
        <w:rPr>
          <w:lang w:val="en"/>
        </w:rPr>
        <w:t xml:space="preserve">¶4</w:t>
      </w:r>
      <w:r>
        <w:rPr>
          <w:lang w:val="en"/>
        </w:rPr>
        <w:t xml:space="preserve"> </w:t>
      </w:r>
      <w:r>
        <w:rPr>
          <w:lang w:val="en"/>
        </w:rPr>
        <w:t xml:space="preserve">Frequency of data collection and time lags</w:t>
      </w:r>
    </w:p>
    <w:p>
      <w:pPr>
        <w:numPr>
          <w:ilvl w:val="0"/>
          <w:numId w:val="1022"/>
        </w:numPr>
        <w:pStyle w:val="Compact"/>
      </w:pPr>
      <w:r>
        <w:rPr>
          <w:lang w:val="en"/>
        </w:rPr>
        <w:t xml:space="preserve">¶5</w:t>
      </w:r>
      <w:r>
        <w:rPr>
          <w:lang w:val="en"/>
        </w:rPr>
        <w:t xml:space="preserve"> </w:t>
      </w:r>
      <w:r>
        <w:rPr>
          <w:lang w:val="en"/>
        </w:rPr>
        <w:t xml:space="preserve">Accuracy estimates and confidence intervals where available</w:t>
      </w:r>
    </w:p>
    <w:p>
      <w:pPr>
        <w:pStyle w:val="FirstParagraph"/>
      </w:pPr>
      <w:r>
        <w:rPr>
          <w:lang w:val="en"/>
        </w:rPr>
        <w:t xml:space="preserve">¶6</w:t>
      </w:r>
      <w:r>
        <w:rPr>
          <w:lang w:val="en"/>
        </w:rPr>
        <w:t xml:space="preserve"> </w:t>
      </w:r>
      <w:r>
        <w:rPr>
          <w:lang w:val="en"/>
        </w:rPr>
        <w:t xml:space="preserve">Quality assurance guidance is provided in</w:t>
      </w:r>
      <w:r>
        <w:rPr>
          <w:lang w:val="en"/>
        </w:rPr>
        <w:t xml:space="preserve"> </w:t>
      </w:r>
      <w:hyperlink r:id="rId163">
        <w:r>
          <w:rPr>
            <w:rStyle w:val="Hyperlink"/>
            <w:bCs/>
            <w:b/>
            <w:lang w:val="en"/>
          </w:rPr>
          <w:t xml:space="preserve">TG-0.7 Quality Assurance Principles</w:t>
        </w:r>
      </w:hyperlink>
      <w:r>
        <w:rPr>
          <w:lang w:val="en"/>
        </w:rPr>
        <w:t xml:space="preserve">.</w:t>
      </w:r>
    </w:p>
    <w:p>
      <w:pPr>
        <w:pStyle w:val="BodyText"/>
      </w:pPr>
      <w:r>
        <w:rPr>
          <w:lang w:val="en"/>
        </w:rPr>
        <w:t xml:space="preserve">¶7</w:t>
      </w:r>
      <w:r>
        <w:rPr>
          <w:lang w:val="en"/>
        </w:rPr>
        <w:t xml:space="preserve"> </w:t>
      </w:r>
      <w:r>
        <w:rPr>
          <w:bCs/>
          <w:b/>
          <w:lang w:val="en"/>
        </w:rPr>
        <w:t xml:space="preserve">Publication scope norm.</w:t>
      </w:r>
      <w:r>
        <w:rPr>
          <w:lang w:val="en"/>
        </w:rPr>
        <w:t xml:space="preserve"> </w:t>
      </w:r>
      <w:r>
        <w:rPr>
          <w:lang w:val="en"/>
        </w:rPr>
        <w:t xml:space="preserve">Compilers should publish only what their supply and use tables can support. The starting set is the core four indicators — gross output, GVA, employment, and GFCF — compiled directly from the SUTs; trade in ocean-characteristic products is added only where it can be balanced against the SUTs. Extension to additional indicators is appropriate only after supplementary sources have been properly reconciled with national accounts data. Where partials are used, the underlying data sources and allocation rules should be published alongside indicator results</w:t>
      </w:r>
      <w:hyperlink w:anchor="user-content-fn-30">
        <w:r>
          <w:rPr>
            <w:rStyle w:val="Hyperlink"/>
            <w:vertAlign w:val="superscript"/>
            <w:lang w:val="en"/>
          </w:rPr>
          <w:t xml:space="preserve">8</w:t>
        </w:r>
      </w:hyperlink>
      <w:r>
        <w:rPr>
          <w:lang w:val="en"/>
        </w:rPr>
        <w:t xml:space="preserve">.</w:t>
      </w:r>
    </w:p>
    <w:p>
      <w:pPr>
        <w:pStyle w:val="BodyText"/>
      </w:pPr>
      <w:r>
        <w:rPr>
          <w:lang w:val="en"/>
        </w:rPr>
        <w:t xml:space="preserve">¶8</w:t>
      </w:r>
      <w:r>
        <w:rPr>
          <w:lang w:val="en"/>
        </w:rPr>
        <w:t xml:space="preserve"> </w:t>
      </w:r>
      <w:r>
        <w:rPr>
          <w:bCs/>
          <w:b/>
          <w:lang w:val="en"/>
        </w:rPr>
        <w:t xml:space="preserve">Metadata requirements.</w:t>
      </w:r>
      <w:r>
        <w:rPr>
          <w:lang w:val="en"/>
        </w:rPr>
        <w:t xml:space="preserve"> </w:t>
      </w:r>
      <w:r>
        <w:rPr>
          <w:lang w:val="en"/>
        </w:rPr>
        <w:t xml:space="preserve">Ocean accounts metadata should document at minimum: sector and industry coverage, the economic concepts applied (including whether a Type 1 or Type 2 approach was used), time period, geographic definition and inland boundary decisions, industrial classification system, data collection method per industry (survey, administrative data, or expert judgement), and any confidentiality suppressions applied. Because ocean account scope and geographic boundary definitions legitimately differ across countries, metadata is the primary mechanism enabling valid cross-country comparisons</w:t>
      </w:r>
      <w:hyperlink w:anchor="user-content-fn-29">
        <w:r>
          <w:rPr>
            <w:rStyle w:val="Hyperlink"/>
            <w:vertAlign w:val="superscript"/>
            <w:lang w:val="en"/>
          </w:rPr>
          <w:t xml:space="preserve">6</w:t>
        </w:r>
      </w:hyperlink>
      <w:r>
        <w:rPr>
          <w:lang w:val="en"/>
        </w:rPr>
        <w:t xml:space="preserve">.</w:t>
      </w:r>
    </w:p>
    <w:bookmarkStart w:id="166" w:name="comparability-considerations"/>
    <w:p>
      <w:pPr>
        <w:pStyle w:val="Heading4"/>
      </w:pPr>
      <w:r>
        <w:rPr>
          <w:lang w:val="en"/>
        </w:rPr>
        <w:t xml:space="preserve">Comparability considerations</w:t>
      </w:r>
    </w:p>
    <w:p>
      <w:pPr>
        <w:pStyle w:val="FirstParagraph"/>
      </w:pPr>
      <w:hyperlink w:anchor="comparability-considerations">
        <w:r>
          <w:drawing>
            <wp:inline>
              <wp:extent cx="152400" cy="152400"/>
              <wp:effectExtent b="0" l="0" r="0" t="0"/>
              <wp:docPr descr="" title="" id="1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“Comparability considerations”</w:t>
        </w:r>
      </w:hyperlink>
    </w:p>
    <w:bookmarkEnd w:id="166"/>
    <w:p>
      <w:pPr>
        <w:pStyle w:val="BodyText"/>
      </w:pPr>
      <w:r>
        <w:rPr>
          <w:lang w:val="en"/>
        </w:rPr>
        <w:t xml:space="preserve">¶1</w:t>
      </w:r>
      <w:r>
        <w:rPr>
          <w:lang w:val="en"/>
        </w:rPr>
        <w:t xml:space="preserve"> </w:t>
      </w:r>
      <w:r>
        <w:rPr>
          <w:lang w:val="en"/>
        </w:rPr>
        <w:t xml:space="preserve">For time series analysis and international comparison:</w:t>
      </w:r>
    </w:p>
    <w:p>
      <w:pPr>
        <w:numPr>
          <w:ilvl w:val="0"/>
          <w:numId w:val="1023"/>
        </w:numPr>
        <w:pStyle w:val="Compact"/>
      </w:pPr>
      <w:r>
        <w:rPr>
          <w:lang w:val="en"/>
        </w:rPr>
        <w:t xml:space="preserve">¶2</w:t>
      </w:r>
      <w:r>
        <w:rPr>
          <w:lang w:val="en"/>
        </w:rPr>
        <w:t xml:space="preserve"> </w:t>
      </w:r>
      <w:r>
        <w:rPr>
          <w:lang w:val="en"/>
        </w:rPr>
        <w:t xml:space="preserve">Use consistent industry and product classifications</w:t>
      </w:r>
    </w:p>
    <w:p>
      <w:pPr>
        <w:numPr>
          <w:ilvl w:val="0"/>
          <w:numId w:val="1023"/>
        </w:numPr>
        <w:pStyle w:val="Compact"/>
      </w:pPr>
      <w:r>
        <w:rPr>
          <w:lang w:val="en"/>
        </w:rPr>
        <w:t xml:space="preserve">¶3</w:t>
      </w:r>
      <w:r>
        <w:rPr>
          <w:lang w:val="en"/>
        </w:rPr>
        <w:t xml:space="preserve"> </w:t>
      </w:r>
      <w:r>
        <w:rPr>
          <w:lang w:val="en"/>
        </w:rPr>
        <w:t xml:space="preserve">Apply consistent valuation principles (basic prices versus purchasers’ prices)</w:t>
      </w:r>
    </w:p>
    <w:p>
      <w:pPr>
        <w:numPr>
          <w:ilvl w:val="0"/>
          <w:numId w:val="1023"/>
        </w:numPr>
        <w:pStyle w:val="Compact"/>
      </w:pPr>
      <w:r>
        <w:rPr>
          <w:lang w:val="en"/>
        </w:rPr>
        <w:t xml:space="preserve">¶4</w:t>
      </w:r>
      <w:r>
        <w:rPr>
          <w:lang w:val="en"/>
        </w:rPr>
        <w:t xml:space="preserve"> </w:t>
      </w:r>
      <w:r>
        <w:rPr>
          <w:lang w:val="en"/>
        </w:rPr>
        <w:t xml:space="preserve">Document changes in methodology that affect comparability</w:t>
      </w:r>
    </w:p>
    <w:p>
      <w:pPr>
        <w:numPr>
          <w:ilvl w:val="0"/>
          <w:numId w:val="1023"/>
        </w:numPr>
        <w:pStyle w:val="Compact"/>
      </w:pPr>
      <w:r>
        <w:rPr>
          <w:lang w:val="en"/>
        </w:rPr>
        <w:t xml:space="preserve">¶5</w:t>
      </w:r>
      <w:r>
        <w:rPr>
          <w:lang w:val="en"/>
        </w:rPr>
        <w:t xml:space="preserve"> </w:t>
      </w:r>
      <w:r>
        <w:rPr>
          <w:lang w:val="en"/>
        </w:rPr>
        <w:t xml:space="preserve">Use appropriate exchange rates for international comparison</w:t>
      </w:r>
    </w:p>
    <w:p>
      <w:pPr>
        <w:pStyle w:val="FirstParagraph"/>
      </w:pPr>
      <w:r>
        <w:rPr>
          <w:lang w:val="en"/>
        </w:rPr>
        <w:t xml:space="preserve">¶6</w:t>
      </w:r>
      <w:r>
        <w:rPr>
          <w:lang w:val="en"/>
        </w:rPr>
        <w:t xml:space="preserve"> </w:t>
      </w:r>
      <w:r>
        <w:rPr>
          <w:lang w:val="en"/>
        </w:rPr>
        <w:t xml:space="preserve">The standing international comparators — the European Commission’s annual</w:t>
      </w:r>
      <w:r>
        <w:rPr>
          <w:lang w:val="en"/>
        </w:rPr>
        <w:t xml:space="preserve"> </w:t>
      </w:r>
      <w:r>
        <w:rPr>
          <w:iCs/>
          <w:i/>
          <w:lang w:val="en"/>
        </w:rPr>
        <w:t xml:space="preserve">EU Blue Economy Report</w:t>
      </w:r>
      <w:r>
        <w:rPr>
          <w:lang w:val="en"/>
        </w:rPr>
        <w:t xml:space="preserve"> </w:t>
      </w:r>
      <w:r>
        <w:rPr>
          <w:lang w:val="en"/>
        </w:rPr>
        <w:t xml:space="preserve">and the OECD’s ocean economy measurement work — are described in</w:t>
      </w:r>
      <w:r>
        <w:rPr>
          <w:lang w:val="en"/>
        </w:rPr>
        <w:t xml:space="preserve"> </w:t>
      </w:r>
      <w:hyperlink r:id="rId55">
        <w:r>
          <w:rPr>
            <w:rStyle w:val="Hyperlink"/>
            <w:bCs/>
            <w:b/>
            <w:lang w:val="en"/>
          </w:rPr>
          <w:t xml:space="preserve">TG-1.0</w:t>
        </w:r>
      </w:hyperlink>
      <w:r>
        <w:rPr>
          <w:lang w:val="en"/>
        </w:rPr>
        <w:t xml:space="preserve"> </w:t>
      </w:r>
      <w:r>
        <w:rPr>
          <w:lang w:val="en"/>
        </w:rPr>
        <w:t xml:space="preserve">Section 3.6, and the reader-side checklist for interrogating a published figure is TG-1.0 Section 3.7.</w:t>
      </w:r>
    </w:p>
    <w:bookmarkStart w:id="169"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69"/>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72"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72"/>
    <w:p>
      <w:pPr>
        <w:pStyle w:val="BodyText"/>
      </w:pPr>
      <w:bookmarkStart w:id="173" w:name="footnotes-label"/>
      <w:r>
        <w:rPr>
          <w:lang w:val="en"/>
        </w:rPr>
        <w:t xml:space="preserve">Footnotes</w:t>
      </w:r>
      <w:bookmarkEnd w:id="173"/>
    </w:p>
    <w:p>
      <w:pPr>
        <w:numPr>
          <w:ilvl w:val="0"/>
          <w:numId w:val="1024"/>
        </w:numPr>
      </w:pPr>
      <w:bookmarkStart w:id="174" w:name="user-content-fn-1"/>
      <w:r>
        <w:rPr>
          <w:lang w:val="en"/>
        </w:rPr>
        <w:t xml:space="preserve">¶1</w:t>
      </w:r>
      <w:r>
        <w:rPr>
          <w:lang w:val="en"/>
        </w:rPr>
        <w:t xml:space="preserve"> </w:t>
      </w:r>
      <w:bookmarkEnd w:id="174"/>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New York: United Nations. ST/ESA/STAT/SER.F/2/Rev.6. Chapters 7 (Production account), 15 (Supply and use tables), and 18 (Measuring prices, volumes and productivity).</w:t>
      </w:r>
      <w:r>
        <w:rPr>
          <w:lang w:val="en"/>
        </w:rPr>
        <w:t xml:space="preserve"> </w:t>
      </w:r>
      <w:hyperlink w:anchor="user-content-fnref-1">
        <w:r>
          <w:rPr>
            <w:rStyle w:val="Hyperlink"/>
            <w:lang w:val="en"/>
          </w:rPr>
          <w:t xml:space="preserve">↩</w:t>
        </w:r>
      </w:hyperlink>
    </w:p>
    <w:p>
      <w:pPr>
        <w:numPr>
          <w:ilvl w:val="0"/>
          <w:numId w:val="1024"/>
        </w:numPr>
      </w:pPr>
      <w:bookmarkStart w:id="175" w:name="user-content-fn-2"/>
      <w:r>
        <w:rPr>
          <w:lang w:val="en"/>
        </w:rPr>
        <w:t xml:space="preserve">¶2</w:t>
      </w:r>
      <w:r>
        <w:rPr>
          <w:lang w:val="en"/>
        </w:rPr>
        <w:t xml:space="preserve"> </w:t>
      </w:r>
      <w:bookmarkEnd w:id="175"/>
    </w:p>
    <w:p>
      <w:pPr>
        <w:numPr>
          <w:ilvl w:val="0"/>
          <w:numId w:val="1000"/>
        </w:numPr>
      </w:pPr>
      <w:r>
        <w:rPr>
          <w:lang w:val="en"/>
        </w:rPr>
        <w:t xml:space="preserve">World Tourism Organization (2024).</w:t>
      </w:r>
      <w:r>
        <w:rPr>
          <w:lang w:val="en"/>
        </w:rPr>
        <w:t xml:space="preserve"> </w:t>
      </w:r>
      <w:r>
        <w:rPr>
          <w:iCs/>
          <w:i/>
          <w:lang w:val="en"/>
        </w:rPr>
        <w:t xml:space="preserve">Statistical Framework for Measuring the Sustainability of Tourism (SF-MST)</w:t>
      </w:r>
      <w:r>
        <w:rPr>
          <w:lang w:val="en"/>
        </w:rPr>
        <w:t xml:space="preserve">. Final Draft, February 2024. Chapter 3 on Measuring the economic dimension. See particularly Section 3.3 on “Measuring the economic structure and performance of tourism industries.”</w:t>
      </w:r>
      <w:r>
        <w:rPr>
          <w:lang w:val="en"/>
        </w:rPr>
        <w:t xml:space="preserve"> </w:t>
      </w:r>
      <w:hyperlink w:anchor="user-content-fnref-2">
        <w:r>
          <w:rPr>
            <w:rStyle w:val="Hyperlink"/>
            <w:lang w:val="en"/>
          </w:rPr>
          <w:t xml:space="preserve">↩</w:t>
        </w:r>
      </w:hyperlink>
    </w:p>
    <w:p>
      <w:pPr>
        <w:numPr>
          <w:ilvl w:val="0"/>
          <w:numId w:val="1024"/>
        </w:numPr>
      </w:pPr>
      <w:bookmarkStart w:id="176" w:name="user-content-fn-3"/>
      <w:r>
        <w:rPr>
          <w:lang w:val="en"/>
        </w:rPr>
        <w:t xml:space="preserve">¶3</w:t>
      </w:r>
      <w:r>
        <w:rPr>
          <w:lang w:val="en"/>
        </w:rPr>
        <w:t xml:space="preserve"> </w:t>
      </w:r>
      <w:bookmarkEnd w:id="176"/>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Statistical Papers Series F No. 124. New York: United Nations. Chapter 13 on accounting for specific environmental themes, including the ocean economy thematic accounting component.</w:t>
      </w:r>
      <w:r>
        <w:rPr>
          <w:lang w:val="en"/>
        </w:rPr>
        <w:t xml:space="preserve"> </w:t>
      </w:r>
      <w:hyperlink w:anchor="user-content-fnref-3">
        <w:r>
          <w:rPr>
            <w:rStyle w:val="Hyperlink"/>
            <w:lang w:val="en"/>
          </w:rPr>
          <w:t xml:space="preserve">↩</w:t>
        </w:r>
      </w:hyperlink>
    </w:p>
    <w:p>
      <w:pPr>
        <w:numPr>
          <w:ilvl w:val="0"/>
          <w:numId w:val="1024"/>
        </w:numPr>
      </w:pPr>
      <w:bookmarkStart w:id="177" w:name="user-content-fn-4"/>
      <w:r>
        <w:rPr>
          <w:lang w:val="en"/>
        </w:rPr>
        <w:t xml:space="preserve">¶4</w:t>
      </w:r>
      <w:r>
        <w:rPr>
          <w:lang w:val="en"/>
        </w:rPr>
        <w:t xml:space="preserve"> </w:t>
      </w:r>
      <w:bookmarkEnd w:id="177"/>
    </w:p>
    <w:p>
      <w:pPr>
        <w:numPr>
          <w:ilvl w:val="0"/>
          <w:numId w:val="1000"/>
        </w:numPr>
      </w:pPr>
      <w:r>
        <w:rPr>
          <w:lang w:val="en"/>
        </w:rPr>
        <w:t xml:space="preserve">This four-dimensional framework draws on the analytical approaches described in OECD (2016).</w:t>
      </w:r>
      <w:r>
        <w:rPr>
          <w:lang w:val="en"/>
        </w:rPr>
        <w:t xml:space="preserve"> </w:t>
      </w:r>
      <w:r>
        <w:rPr>
          <w:iCs/>
          <w:i/>
          <w:lang w:val="en"/>
        </w:rPr>
        <w:t xml:space="preserve">The Ocean Economy in 2030</w:t>
      </w:r>
      <w:r>
        <w:rPr>
          <w:lang w:val="en"/>
        </w:rPr>
        <w:t xml:space="preserve">. Paris: OECD Publishing.</w:t>
      </w:r>
      <w:r>
        <w:rPr>
          <w:lang w:val="en"/>
        </w:rPr>
        <w:t xml:space="preserve"> </w:t>
      </w:r>
      <w:hyperlink w:anchor="user-content-fnref-4">
        <w:r>
          <w:rPr>
            <w:rStyle w:val="Hyperlink"/>
            <w:lang w:val="en"/>
          </w:rPr>
          <w:t xml:space="preserve">↩</w:t>
        </w:r>
      </w:hyperlink>
    </w:p>
    <w:p>
      <w:pPr>
        <w:numPr>
          <w:ilvl w:val="0"/>
          <w:numId w:val="1024"/>
        </w:numPr>
      </w:pPr>
      <w:bookmarkStart w:id="178" w:name="user-content-fn-5"/>
      <w:r>
        <w:rPr>
          <w:lang w:val="en"/>
        </w:rPr>
        <w:t xml:space="preserve">¶5</w:t>
      </w:r>
      <w:r>
        <w:rPr>
          <w:lang w:val="en"/>
        </w:rPr>
        <w:t xml:space="preserve"> </w:t>
      </w:r>
      <w:bookmarkEnd w:id="178"/>
    </w:p>
    <w:p>
      <w:pPr>
        <w:numPr>
          <w:ilvl w:val="0"/>
          <w:numId w:val="1000"/>
        </w:numPr>
      </w:pPr>
      <w:r>
        <w:rPr>
          <w:lang w:val="en"/>
        </w:rPr>
        <w:t xml:space="preserve">World Tourism Organization (2024).</w:t>
      </w:r>
      <w:r>
        <w:rPr>
          <w:lang w:val="en"/>
        </w:rPr>
        <w:t xml:space="preserve"> </w:t>
      </w:r>
      <w:r>
        <w:rPr>
          <w:iCs/>
          <w:i/>
          <w:lang w:val="en"/>
        </w:rPr>
        <w:t xml:space="preserve">SF-MST</w:t>
      </w:r>
      <w:r>
        <w:rPr>
          <w:lang w:val="en"/>
        </w:rPr>
        <w:t xml:space="preserve">, Section 2.5 on Measuring the sustainability of tourism at sub-national levels. The destination-level measurement approaches described in Section 3.7 are directly adaptable for coastal and marine economic zone analysis.</w:t>
      </w:r>
      <w:r>
        <w:rPr>
          <w:lang w:val="en"/>
        </w:rPr>
        <w:t xml:space="preserve"> </w:t>
      </w:r>
      <w:hyperlink w:anchor="user-content-fnref-5">
        <w:r>
          <w:rPr>
            <w:rStyle w:val="Hyperlink"/>
            <w:lang w:val="en"/>
          </w:rPr>
          <w:t xml:space="preserve">↩</w:t>
        </w:r>
      </w:hyperlink>
    </w:p>
    <w:p>
      <w:pPr>
        <w:numPr>
          <w:ilvl w:val="0"/>
          <w:numId w:val="1024"/>
        </w:numPr>
      </w:pPr>
      <w:bookmarkStart w:id="179" w:name="user-content-fn-29"/>
      <w:r>
        <w:rPr>
          <w:lang w:val="en"/>
        </w:rPr>
        <w:t xml:space="preserve">¶6</w:t>
      </w:r>
      <w:r>
        <w:rPr>
          <w:lang w:val="en"/>
        </w:rPr>
        <w:t xml:space="preserve"> </w:t>
      </w:r>
      <w:bookmarkEnd w:id="179"/>
    </w:p>
    <w:p>
      <w:pPr>
        <w:numPr>
          <w:ilvl w:val="0"/>
          <w:numId w:val="1000"/>
        </w:numPr>
      </w:pPr>
      <w:r>
        <w:rPr>
          <w:lang w:val="en"/>
        </w:rPr>
        <w:t xml:space="preserve">Colgan, C.S. (2022).</w:t>
      </w:r>
      <w:r>
        <w:rPr>
          <w:lang w:val="en"/>
        </w:rPr>
        <w:t xml:space="preserve"> </w:t>
      </w:r>
      <w:r>
        <w:rPr>
          <w:iCs/>
          <w:i/>
          <w:lang w:val="en"/>
        </w:rPr>
        <w:t xml:space="preserve">A Guide to Creating Core Ocean GDP Accounts</w:t>
      </w:r>
      <w:r>
        <w:rPr>
          <w:lang w:val="en"/>
        </w:rPr>
        <w:t xml:space="preserve">. Global Ocean Accounts Partnership. Available at:</w:t>
      </w:r>
      <w:r>
        <w:rPr>
          <w:lang w:val="en"/>
        </w:rPr>
        <w:t xml:space="preserve"> </w:t>
      </w:r>
      <w:hyperlink r:id="rId180">
        <w:r>
          <w:rPr>
            <w:rStyle w:val="Hyperlink"/>
            <w:lang w:val="en"/>
          </w:rPr>
          <w:t xml:space="preserve">https://www.oceanaccounts.org/a-guide-to-creating-core-ocean-gdp-accounts/</w:t>
        </w:r>
      </w:hyperlink>
      <w:r>
        <w:rPr>
          <w:lang w:val="en"/>
        </w:rPr>
        <w:t xml:space="preserve"> </w:t>
      </w:r>
      <w:hyperlink w:anchor="user-content-fnref-29">
        <w:r>
          <w:rPr>
            <w:rStyle w:val="Hyperlink"/>
            <w:lang w:val="en"/>
          </w:rPr>
          <w:t xml:space="preserve">↩</w:t>
        </w:r>
      </w:hyperlink>
      <w:r>
        <w:rPr>
          <w:lang w:val="en"/>
        </w:rPr>
        <w:t xml:space="preserve"> </w:t>
      </w:r>
      <w:hyperlink w:anchor="user-content-fnref-29-2">
        <w:r>
          <w:rPr>
            <w:rStyle w:val="Hyperlink"/>
            <w:lang w:val="en"/>
          </w:rPr>
          <w:t xml:space="preserve">↩</w:t>
        </w:r>
        <w:r>
          <w:rPr>
            <w:rStyle w:val="Hyperlink"/>
            <w:vertAlign w:val="superscript"/>
            <w:lang w:val="en"/>
          </w:rPr>
          <w:t xml:space="preserve">2</w:t>
        </w:r>
      </w:hyperlink>
      <w:r>
        <w:rPr>
          <w:lang w:val="en"/>
        </w:rPr>
        <w:t xml:space="preserve"> </w:t>
      </w:r>
      <w:hyperlink w:anchor="user-content-fnref-29-3">
        <w:r>
          <w:rPr>
            <w:rStyle w:val="Hyperlink"/>
            <w:lang w:val="en"/>
          </w:rPr>
          <w:t xml:space="preserve">↩</w:t>
        </w:r>
        <w:r>
          <w:rPr>
            <w:rStyle w:val="Hyperlink"/>
            <w:vertAlign w:val="superscript"/>
            <w:lang w:val="en"/>
          </w:rPr>
          <w:t xml:space="preserve">3</w:t>
        </w:r>
      </w:hyperlink>
    </w:p>
    <w:p>
      <w:pPr>
        <w:numPr>
          <w:ilvl w:val="0"/>
          <w:numId w:val="1024"/>
        </w:numPr>
      </w:pPr>
      <w:bookmarkStart w:id="181" w:name="user-content-fn-7"/>
      <w:r>
        <w:rPr>
          <w:lang w:val="en"/>
        </w:rPr>
        <w:t xml:space="preserve">¶7</w:t>
      </w:r>
      <w:r>
        <w:rPr>
          <w:lang w:val="en"/>
        </w:rPr>
        <w:t xml:space="preserve"> </w:t>
      </w:r>
      <w:bookmarkEnd w:id="181"/>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15 on Supply and use tables provides the methodological foundation for deriving structural indicators.</w:t>
      </w:r>
      <w:r>
        <w:rPr>
          <w:lang w:val="en"/>
        </w:rPr>
        <w:t xml:space="preserve"> </w:t>
      </w:r>
      <w:hyperlink w:anchor="user-content-fnref-7">
        <w:r>
          <w:rPr>
            <w:rStyle w:val="Hyperlink"/>
            <w:lang w:val="en"/>
          </w:rPr>
          <w:t xml:space="preserve">↩</w:t>
        </w:r>
      </w:hyperlink>
    </w:p>
    <w:p>
      <w:pPr>
        <w:numPr>
          <w:ilvl w:val="0"/>
          <w:numId w:val="1024"/>
        </w:numPr>
      </w:pPr>
      <w:bookmarkStart w:id="182" w:name="user-content-fn-30"/>
      <w:r>
        <w:rPr>
          <w:lang w:val="en"/>
        </w:rPr>
        <w:t xml:space="preserve">¶8</w:t>
      </w:r>
      <w:r>
        <w:rPr>
          <w:lang w:val="en"/>
        </w:rPr>
        <w:t xml:space="preserve"> </w:t>
      </w:r>
      <w:bookmarkEnd w:id="182"/>
    </w:p>
    <w:p>
      <w:pPr>
        <w:numPr>
          <w:ilvl w:val="0"/>
          <w:numId w:val="1000"/>
        </w:numPr>
      </w:pPr>
      <w:r>
        <w:rPr>
          <w:lang w:val="en"/>
        </w:rPr>
        <w:t xml:space="preserve">Global Ocean Accounts Partnership (2025).</w:t>
      </w:r>
      <w:r>
        <w:rPr>
          <w:lang w:val="en"/>
        </w:rPr>
        <w:t xml:space="preserve"> </w:t>
      </w:r>
      <w:r>
        <w:rPr>
          <w:iCs/>
          <w:i/>
          <w:lang w:val="en"/>
        </w:rPr>
        <w:t xml:space="preserve">Valuing the Ocean Economy: Lessons from Earlier Adopters</w:t>
      </w:r>
      <w:r>
        <w:rPr>
          <w:lang w:val="en"/>
        </w:rPr>
        <w:t xml:space="preserve">. GOAP Publication. Available at:</w:t>
      </w:r>
      <w:r>
        <w:rPr>
          <w:lang w:val="en"/>
        </w:rPr>
        <w:t xml:space="preserve"> </w:t>
      </w:r>
      <w:hyperlink r:id="rId183">
        <w:r>
          <w:rPr>
            <w:rStyle w:val="Hyperlink"/>
            <w:lang w:val="en"/>
          </w:rPr>
          <w:t xml:space="preserve">https://oceanaccounts.org/publications/valuing-the-ocean-economy-lessons-from-earlier-adopters/</w:t>
        </w:r>
      </w:hyperlink>
      <w:r>
        <w:rPr>
          <w:lang w:val="en"/>
        </w:rPr>
        <w:t xml:space="preserve"> </w:t>
      </w:r>
      <w:hyperlink w:anchor="user-content-fnref-30">
        <w:r>
          <w:rPr>
            <w:rStyle w:val="Hyperlink"/>
            <w:lang w:val="en"/>
          </w:rPr>
          <w:t xml:space="preserve">↩</w:t>
        </w:r>
      </w:hyperlink>
      <w:r>
        <w:rPr>
          <w:lang w:val="en"/>
        </w:rPr>
        <w:t xml:space="preserve"> </w:t>
      </w:r>
      <w:hyperlink w:anchor="user-content-fnref-30-2">
        <w:r>
          <w:rPr>
            <w:rStyle w:val="Hyperlink"/>
            <w:lang w:val="en"/>
          </w:rPr>
          <w:t xml:space="preserve">↩</w:t>
        </w:r>
        <w:r>
          <w:rPr>
            <w:rStyle w:val="Hyperlink"/>
            <w:vertAlign w:val="superscript"/>
            <w:lang w:val="en"/>
          </w:rPr>
          <w:t xml:space="preserve">2</w:t>
        </w:r>
      </w:hyperlink>
    </w:p>
    <w:p>
      <w:pPr>
        <w:numPr>
          <w:ilvl w:val="0"/>
          <w:numId w:val="1024"/>
        </w:numPr>
      </w:pPr>
      <w:bookmarkStart w:id="184" w:name="user-content-fn-8"/>
      <w:r>
        <w:rPr>
          <w:lang w:val="en"/>
        </w:rPr>
        <w:t xml:space="preserve">¶9</w:t>
      </w:r>
      <w:r>
        <w:rPr>
          <w:lang w:val="en"/>
        </w:rPr>
        <w:t xml:space="preserve"> </w:t>
      </w:r>
      <w:bookmarkEnd w:id="184"/>
    </w:p>
    <w:p>
      <w:pPr>
        <w:numPr>
          <w:ilvl w:val="0"/>
          <w:numId w:val="1000"/>
        </w:numPr>
      </w:pPr>
      <w:r>
        <w:rPr>
          <w:lang w:val="en"/>
        </w:rPr>
        <w:t xml:space="preserve">United Nations (2008).</w:t>
      </w:r>
      <w:r>
        <w:rPr>
          <w:lang w:val="en"/>
        </w:rPr>
        <w:t xml:space="preserve"> </w:t>
      </w:r>
      <w:r>
        <w:rPr>
          <w:iCs/>
          <w:i/>
          <w:lang w:val="en"/>
        </w:rPr>
        <w:t xml:space="preserve">International Standard Industrial Classification of All Economic Activities (ISIC), Revision 4</w:t>
      </w:r>
      <w:r>
        <w:rPr>
          <w:lang w:val="en"/>
        </w:rPr>
        <w:t xml:space="preserve">. Statistical Papers Series M No. 4/Rev.4. New York: United Nations.</w:t>
      </w:r>
      <w:r>
        <w:rPr>
          <w:lang w:val="en"/>
        </w:rPr>
        <w:t xml:space="preserve"> </w:t>
      </w:r>
      <w:hyperlink w:anchor="user-content-fnref-8">
        <w:r>
          <w:rPr>
            <w:rStyle w:val="Hyperlink"/>
            <w:lang w:val="en"/>
          </w:rPr>
          <w:t xml:space="preserve">↩</w:t>
        </w:r>
      </w:hyperlink>
    </w:p>
    <w:p>
      <w:pPr>
        <w:numPr>
          <w:ilvl w:val="0"/>
          <w:numId w:val="1024"/>
        </w:numPr>
      </w:pPr>
      <w:bookmarkStart w:id="185" w:name="user-content-fn-9"/>
      <w:r>
        <w:rPr>
          <w:lang w:val="en"/>
        </w:rPr>
        <w:t xml:space="preserve">¶10</w:t>
      </w:r>
      <w:r>
        <w:rPr>
          <w:lang w:val="en"/>
        </w:rPr>
        <w:t xml:space="preserve"> </w:t>
      </w:r>
      <w:bookmarkEnd w:id="185"/>
    </w:p>
    <w:p>
      <w:pPr>
        <w:numPr>
          <w:ilvl w:val="0"/>
          <w:numId w:val="1000"/>
        </w:numPr>
      </w:pPr>
      <w:r>
        <w:rPr>
          <w:lang w:val="en"/>
        </w:rPr>
        <w:t xml:space="preserve">These indicators follow standard practice in economic structure analysis. See Eurostat (2013).</w:t>
      </w:r>
      <w:r>
        <w:rPr>
          <w:lang w:val="en"/>
        </w:rPr>
        <w:t xml:space="preserve"> </w:t>
      </w:r>
      <w:r>
        <w:rPr>
          <w:iCs/>
          <w:i/>
          <w:lang w:val="en"/>
        </w:rPr>
        <w:t xml:space="preserve">European System of Accounts (ESA 2010)</w:t>
      </w:r>
      <w:r>
        <w:rPr>
          <w:lang w:val="en"/>
        </w:rPr>
        <w:t xml:space="preserve">. Luxembourg: Publications Office of the European Union.</w:t>
      </w:r>
      <w:r>
        <w:rPr>
          <w:lang w:val="en"/>
        </w:rPr>
        <w:t xml:space="preserve"> </w:t>
      </w:r>
      <w:hyperlink w:anchor="user-content-fnref-9">
        <w:r>
          <w:rPr>
            <w:rStyle w:val="Hyperlink"/>
            <w:lang w:val="en"/>
          </w:rPr>
          <w:t xml:space="preserve">↩</w:t>
        </w:r>
      </w:hyperlink>
    </w:p>
    <w:p>
      <w:pPr>
        <w:numPr>
          <w:ilvl w:val="0"/>
          <w:numId w:val="1024"/>
        </w:numPr>
      </w:pPr>
      <w:bookmarkStart w:id="186" w:name="user-content-fn-10"/>
      <w:r>
        <w:rPr>
          <w:lang w:val="en"/>
        </w:rPr>
        <w:t xml:space="preserve">¶11</w:t>
      </w:r>
      <w:r>
        <w:rPr>
          <w:lang w:val="en"/>
        </w:rPr>
        <w:t xml:space="preserve"> </w:t>
      </w:r>
      <w:bookmarkEnd w:id="186"/>
    </w:p>
    <w:p>
      <w:pPr>
        <w:numPr>
          <w:ilvl w:val="0"/>
          <w:numId w:val="1000"/>
        </w:numPr>
      </w:pPr>
      <w:r>
        <w:rPr>
          <w:lang w:val="en"/>
        </w:rPr>
        <w:t xml:space="preserve">UNWTO and UNSD (2008).</w:t>
      </w:r>
      <w:r>
        <w:rPr>
          <w:lang w:val="en"/>
        </w:rPr>
        <w:t xml:space="preserve"> </w:t>
      </w:r>
      <w:r>
        <w:rPr>
          <w:iCs/>
          <w:i/>
          <w:lang w:val="en"/>
        </w:rPr>
        <w:t xml:space="preserve">International Recommendations for Tourism Statistics 2008</w:t>
      </w:r>
      <w:r>
        <w:rPr>
          <w:lang w:val="en"/>
        </w:rPr>
        <w:t xml:space="preserve">, Chapter 7 provides guidance on employment measures applicable to sector thematic accounts.</w:t>
      </w:r>
      <w:r>
        <w:rPr>
          <w:lang w:val="en"/>
        </w:rPr>
        <w:t xml:space="preserve"> </w:t>
      </w:r>
      <w:hyperlink w:anchor="user-content-fnref-10">
        <w:r>
          <w:rPr>
            <w:rStyle w:val="Hyperlink"/>
            <w:lang w:val="en"/>
          </w:rPr>
          <w:t xml:space="preserve">↩</w:t>
        </w:r>
      </w:hyperlink>
    </w:p>
    <w:p>
      <w:pPr>
        <w:numPr>
          <w:ilvl w:val="0"/>
          <w:numId w:val="1024"/>
        </w:numPr>
      </w:pPr>
      <w:bookmarkStart w:id="187" w:name="user-content-fn-12"/>
      <w:r>
        <w:rPr>
          <w:lang w:val="en"/>
        </w:rPr>
        <w:t xml:space="preserve">¶12</w:t>
      </w:r>
      <w:r>
        <w:rPr>
          <w:lang w:val="en"/>
        </w:rPr>
        <w:t xml:space="preserve"> </w:t>
      </w:r>
      <w:bookmarkEnd w:id="187"/>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18 on Measuring prices, volumes and productivity provides guidance on deflation methods.</w:t>
      </w:r>
      <w:r>
        <w:rPr>
          <w:lang w:val="en"/>
        </w:rPr>
        <w:t xml:space="preserve"> </w:t>
      </w:r>
      <w:hyperlink w:anchor="user-content-fnref-12">
        <w:r>
          <w:rPr>
            <w:rStyle w:val="Hyperlink"/>
            <w:lang w:val="en"/>
          </w:rPr>
          <w:t xml:space="preserve">↩</w:t>
        </w:r>
      </w:hyperlink>
    </w:p>
    <w:p>
      <w:pPr>
        <w:numPr>
          <w:ilvl w:val="0"/>
          <w:numId w:val="1024"/>
        </w:numPr>
      </w:pPr>
      <w:bookmarkStart w:id="188" w:name="user-content-fn-13"/>
      <w:r>
        <w:rPr>
          <w:lang w:val="en"/>
        </w:rPr>
        <w:t xml:space="preserve">¶13</w:t>
      </w:r>
      <w:r>
        <w:rPr>
          <w:lang w:val="en"/>
        </w:rPr>
        <w:t xml:space="preserve"> </w:t>
      </w:r>
      <w:bookmarkEnd w:id="188"/>
    </w:p>
    <w:p>
      <w:pPr>
        <w:numPr>
          <w:ilvl w:val="0"/>
          <w:numId w:val="1000"/>
        </w:numPr>
      </w:pPr>
      <w:r>
        <w:rPr>
          <w:lang w:val="en"/>
        </w:rPr>
        <w:t xml:space="preserve">OECD (2001).</w:t>
      </w:r>
      <w:r>
        <w:rPr>
          <w:lang w:val="en"/>
        </w:rPr>
        <w:t xml:space="preserve"> </w:t>
      </w:r>
      <w:r>
        <w:rPr>
          <w:iCs/>
          <w:i/>
          <w:lang w:val="en"/>
        </w:rPr>
        <w:t xml:space="preserve">Measuring Productivity: OECD Manual</w:t>
      </w:r>
      <w:r>
        <w:rPr>
          <w:lang w:val="en"/>
        </w:rPr>
        <w:t xml:space="preserve">. Paris: OECD Publishing. Provides comprehensive guidance on productivity measurement applicable to sectoral analysis.</w:t>
      </w:r>
      <w:r>
        <w:rPr>
          <w:lang w:val="en"/>
        </w:rPr>
        <w:t xml:space="preserve"> </w:t>
      </w:r>
      <w:hyperlink w:anchor="user-content-fnref-13">
        <w:r>
          <w:rPr>
            <w:rStyle w:val="Hyperlink"/>
            <w:lang w:val="en"/>
          </w:rPr>
          <w:t xml:space="preserve">↩</w:t>
        </w:r>
      </w:hyperlink>
    </w:p>
    <w:p>
      <w:pPr>
        <w:numPr>
          <w:ilvl w:val="0"/>
          <w:numId w:val="1024"/>
        </w:numPr>
      </w:pPr>
      <w:bookmarkStart w:id="189" w:name="user-content-fn-14"/>
      <w:r>
        <w:rPr>
          <w:lang w:val="en"/>
        </w:rPr>
        <w:t xml:space="preserve">¶14</w:t>
      </w:r>
      <w:r>
        <w:rPr>
          <w:lang w:val="en"/>
        </w:rPr>
        <w:t xml:space="preserve"> </w:t>
      </w:r>
      <w:bookmarkEnd w:id="189"/>
    </w:p>
    <w:p>
      <w:pPr>
        <w:numPr>
          <w:ilvl w:val="0"/>
          <w:numId w:val="1000"/>
        </w:numPr>
      </w:pPr>
      <w:r>
        <w:rPr>
          <w:lang w:val="en"/>
        </w:rPr>
        <w:t xml:space="preserve">The perpetual inventory method is described in OECD (2009).</w:t>
      </w:r>
      <w:r>
        <w:rPr>
          <w:lang w:val="en"/>
        </w:rPr>
        <w:t xml:space="preserve"> </w:t>
      </w:r>
      <w:r>
        <w:rPr>
          <w:iCs/>
          <w:i/>
          <w:lang w:val="en"/>
        </w:rPr>
        <w:t xml:space="preserve">Measuring Capital: OECD Manual</w:t>
      </w:r>
      <w:r>
        <w:rPr>
          <w:lang w:val="en"/>
        </w:rPr>
        <w:t xml:space="preserve">. 2nd edition. Paris: OECD Publishing. For ocean-industry-specific asset valuation, see also</w:t>
      </w:r>
      <w:r>
        <w:rPr>
          <w:lang w:val="en"/>
        </w:rPr>
        <w:t xml:space="preserve"> </w:t>
      </w:r>
      <w:hyperlink r:id="rId101">
        <w:r>
          <w:rPr>
            <w:rStyle w:val="Hyperlink"/>
            <w:bCs/>
            <w:b/>
            <w:lang w:val="en"/>
          </w:rPr>
          <w:t xml:space="preserve">TG-3.1 Asset Accounts</w:t>
        </w:r>
      </w:hyperlink>
      <w:r>
        <w:rPr>
          <w:lang w:val="en"/>
        </w:rPr>
        <w:t xml:space="preserve">.</w:t>
      </w:r>
      <w:r>
        <w:rPr>
          <w:lang w:val="en"/>
        </w:rPr>
        <w:t xml:space="preserve"> </w:t>
      </w:r>
      <w:hyperlink w:anchor="user-content-fnref-14">
        <w:r>
          <w:rPr>
            <w:rStyle w:val="Hyperlink"/>
            <w:lang w:val="en"/>
          </w:rPr>
          <w:t xml:space="preserve">↩</w:t>
        </w:r>
      </w:hyperlink>
    </w:p>
    <w:p>
      <w:pPr>
        <w:numPr>
          <w:ilvl w:val="0"/>
          <w:numId w:val="1024"/>
        </w:numPr>
      </w:pPr>
      <w:bookmarkStart w:id="190" w:name="user-content-fn-15"/>
      <w:r>
        <w:rPr>
          <w:lang w:val="en"/>
        </w:rPr>
        <w:t xml:space="preserve">¶15</w:t>
      </w:r>
      <w:r>
        <w:rPr>
          <w:lang w:val="en"/>
        </w:rPr>
        <w:t xml:space="preserve"> </w:t>
      </w:r>
      <w:bookmarkEnd w:id="190"/>
    </w:p>
    <w:p>
      <w:pPr>
        <w:numPr>
          <w:ilvl w:val="0"/>
          <w:numId w:val="1000"/>
        </w:numPr>
      </w:pPr>
      <w:r>
        <w:rPr>
          <w:lang w:val="en"/>
        </w:rPr>
        <w:t xml:space="preserve">For multi-factor productivity analysis, see Jorgenson, D.W., F.M. Gollop, and B.M. Fraumeni (1987).</w:t>
      </w:r>
      <w:r>
        <w:rPr>
          <w:lang w:val="en"/>
        </w:rPr>
        <w:t xml:space="preserve"> </w:t>
      </w:r>
      <w:r>
        <w:rPr>
          <w:iCs/>
          <w:i/>
          <w:lang w:val="en"/>
        </w:rPr>
        <w:t xml:space="preserve">Productivity and U.S. Economic Growth</w:t>
      </w:r>
      <w:r>
        <w:rPr>
          <w:lang w:val="en"/>
        </w:rPr>
        <w:t xml:space="preserve">. Cambridge: Harvard University Press.</w:t>
      </w:r>
      <w:r>
        <w:rPr>
          <w:lang w:val="en"/>
        </w:rPr>
        <w:t xml:space="preserve"> </w:t>
      </w:r>
      <w:hyperlink w:anchor="user-content-fnref-15">
        <w:r>
          <w:rPr>
            <w:rStyle w:val="Hyperlink"/>
            <w:lang w:val="en"/>
          </w:rPr>
          <w:t xml:space="preserve">↩</w:t>
        </w:r>
      </w:hyperlink>
    </w:p>
    <w:p>
      <w:pPr>
        <w:numPr>
          <w:ilvl w:val="0"/>
          <w:numId w:val="1024"/>
        </w:numPr>
      </w:pPr>
      <w:bookmarkStart w:id="191" w:name="user-content-fn-16"/>
      <w:r>
        <w:rPr>
          <w:lang w:val="en"/>
        </w:rPr>
        <w:t xml:space="preserve">¶16</w:t>
      </w:r>
      <w:r>
        <w:rPr>
          <w:lang w:val="en"/>
        </w:rPr>
        <w:t xml:space="preserve"> </w:t>
      </w:r>
      <w:bookmarkEnd w:id="191"/>
    </w:p>
    <w:p>
      <w:pPr>
        <w:numPr>
          <w:ilvl w:val="0"/>
          <w:numId w:val="1000"/>
        </w:numPr>
      </w:pPr>
      <w:r>
        <w:rPr>
          <w:lang w:val="en"/>
        </w:rPr>
        <w:t xml:space="preserve">This decomposition follows standard growth accounting practice. See SNA 2025 Chapter 18 for methodological details.</w:t>
      </w:r>
      <w:r>
        <w:rPr>
          <w:lang w:val="en"/>
        </w:rPr>
        <w:t xml:space="preserve"> </w:t>
      </w:r>
      <w:hyperlink w:anchor="user-content-fnref-16">
        <w:r>
          <w:rPr>
            <w:rStyle w:val="Hyperlink"/>
            <w:lang w:val="en"/>
          </w:rPr>
          <w:t xml:space="preserve">↩</w:t>
        </w:r>
      </w:hyperlink>
    </w:p>
    <w:p>
      <w:pPr>
        <w:numPr>
          <w:ilvl w:val="0"/>
          <w:numId w:val="1024"/>
        </w:numPr>
      </w:pPr>
      <w:bookmarkStart w:id="192" w:name="user-content-fn-17"/>
      <w:r>
        <w:rPr>
          <w:lang w:val="en"/>
        </w:rPr>
        <w:t xml:space="preserve">¶17</w:t>
      </w:r>
      <w:r>
        <w:rPr>
          <w:lang w:val="en"/>
        </w:rPr>
        <w:t xml:space="preserve"> </w:t>
      </w:r>
      <w:bookmarkEnd w:id="192"/>
    </w:p>
    <w:p>
      <w:pPr>
        <w:numPr>
          <w:ilvl w:val="0"/>
          <w:numId w:val="1000"/>
        </w:numPr>
      </w:pPr>
      <w:r>
        <w:rPr>
          <w:lang w:val="en"/>
        </w:rPr>
        <w:t xml:space="preserve">United Nations et al. (2025).</w:t>
      </w:r>
      <w:r>
        <w:rPr>
          <w:lang w:val="en"/>
        </w:rPr>
        <w:t xml:space="preserve"> </w:t>
      </w:r>
      <w:r>
        <w:rPr>
          <w:iCs/>
          <w:i/>
          <w:lang w:val="en"/>
        </w:rPr>
        <w:t xml:space="preserve">System of National Accounts 2025</w:t>
      </w:r>
      <w:r>
        <w:rPr>
          <w:lang w:val="en"/>
        </w:rPr>
        <w:t xml:space="preserve">, Chapter 15, para 15.137: “Gross value added minus depreciation of fixed assets minus depletion of non-produced natural resources equals net value added.” See also</w:t>
      </w:r>
      <w:r>
        <w:rPr>
          <w:lang w:val="en"/>
        </w:rPr>
        <w:t xml:space="preserve"> </w:t>
      </w:r>
      <w:hyperlink r:id="rId33">
        <w:r>
          <w:rPr>
            <w:rStyle w:val="Hyperlink"/>
            <w:bCs/>
            <w:b/>
            <w:lang w:val="en"/>
          </w:rPr>
          <w:t xml:space="preserve">TG-1.1</w:t>
        </w:r>
      </w:hyperlink>
      <w:r>
        <w:rPr>
          <w:lang w:val="en"/>
        </w:rPr>
        <w:t xml:space="preserve"> </w:t>
      </w:r>
      <w:r>
        <w:rPr>
          <w:lang w:val="en"/>
        </w:rPr>
        <w:t xml:space="preserve">Section 3.1 on the policy rationale for net measures.</w:t>
      </w:r>
      <w:r>
        <w:rPr>
          <w:lang w:val="en"/>
        </w:rPr>
        <w:t xml:space="preserve"> </w:t>
      </w:r>
      <w:hyperlink w:anchor="user-content-fnref-17">
        <w:r>
          <w:rPr>
            <w:rStyle w:val="Hyperlink"/>
            <w:lang w:val="en"/>
          </w:rPr>
          <w:t xml:space="preserve">↩</w:t>
        </w:r>
      </w:hyperlink>
    </w:p>
    <w:p>
      <w:pPr>
        <w:numPr>
          <w:ilvl w:val="0"/>
          <w:numId w:val="1024"/>
        </w:numPr>
      </w:pPr>
      <w:bookmarkStart w:id="193" w:name="user-content-fn-18"/>
      <w:r>
        <w:rPr>
          <w:lang w:val="en"/>
        </w:rPr>
        <w:t xml:space="preserve">¶18</w:t>
      </w:r>
      <w:r>
        <w:rPr>
          <w:lang w:val="en"/>
        </w:rPr>
        <w:t xml:space="preserve"> </w:t>
      </w:r>
      <w:bookmarkEnd w:id="193"/>
    </w:p>
    <w:p>
      <w:pPr>
        <w:numPr>
          <w:ilvl w:val="0"/>
          <w:numId w:val="1000"/>
        </w:numPr>
      </w:pPr>
      <w:r>
        <w:rPr>
          <w:lang w:val="en"/>
        </w:rPr>
        <w:t xml:space="preserve">Industry-level employment data follow ISIC classification, consistent with the industry classification in</w:t>
      </w:r>
      <w:r>
        <w:rPr>
          <w:lang w:val="en"/>
        </w:rPr>
        <w:t xml:space="preserve"> </w:t>
      </w:r>
      <w:hyperlink r:id="rId32">
        <w:r>
          <w:rPr>
            <w:rStyle w:val="Hyperlink"/>
            <w:bCs/>
            <w:b/>
            <w:lang w:val="en"/>
          </w:rPr>
          <w:t xml:space="preserve">TG-3.3 Economic Activity Relevant to the Ocean</w:t>
        </w:r>
      </w:hyperlink>
      <w:r>
        <w:rPr>
          <w:lang w:val="en"/>
        </w:rPr>
        <w:t xml:space="preserve">.</w:t>
      </w:r>
      <w:r>
        <w:rPr>
          <w:lang w:val="en"/>
        </w:rPr>
        <w:t xml:space="preserve"> </w:t>
      </w:r>
      <w:hyperlink w:anchor="user-content-fnref-18">
        <w:r>
          <w:rPr>
            <w:rStyle w:val="Hyperlink"/>
            <w:lang w:val="en"/>
          </w:rPr>
          <w:t xml:space="preserve">↩</w:t>
        </w:r>
      </w:hyperlink>
    </w:p>
    <w:p>
      <w:pPr>
        <w:numPr>
          <w:ilvl w:val="0"/>
          <w:numId w:val="1024"/>
        </w:numPr>
      </w:pPr>
      <w:bookmarkStart w:id="194" w:name="user-content-fn-19"/>
      <w:r>
        <w:rPr>
          <w:lang w:val="en"/>
        </w:rPr>
        <w:t xml:space="preserve">¶19</w:t>
      </w:r>
      <w:r>
        <w:rPr>
          <w:lang w:val="en"/>
        </w:rPr>
        <w:t xml:space="preserve"> </w:t>
      </w:r>
      <w:bookmarkEnd w:id="194"/>
    </w:p>
    <w:p>
      <w:pPr>
        <w:numPr>
          <w:ilvl w:val="0"/>
          <w:numId w:val="1000"/>
        </w:numPr>
      </w:pPr>
      <w:r>
        <w:rPr>
          <w:lang w:val="en"/>
        </w:rPr>
        <w:t xml:space="preserve">ILO (2018).</w:t>
      </w:r>
      <w:r>
        <w:rPr>
          <w:lang w:val="en"/>
        </w:rPr>
        <w:t xml:space="preserve"> </w:t>
      </w:r>
      <w:r>
        <w:rPr>
          <w:iCs/>
          <w:i/>
          <w:lang w:val="en"/>
        </w:rPr>
        <w:t xml:space="preserve">Guidelines concerning statistics of international labour migration</w:t>
      </w:r>
      <w:r>
        <w:rPr>
          <w:lang w:val="en"/>
        </w:rPr>
        <w:t xml:space="preserve">. 20th International Conference of Labour Statisticians. Geneva: ILO.</w:t>
      </w:r>
      <w:r>
        <w:rPr>
          <w:lang w:val="en"/>
        </w:rPr>
        <w:t xml:space="preserve"> </w:t>
      </w:r>
      <w:hyperlink w:anchor="user-content-fnref-19">
        <w:r>
          <w:rPr>
            <w:rStyle w:val="Hyperlink"/>
            <w:lang w:val="en"/>
          </w:rPr>
          <w:t xml:space="preserve">↩</w:t>
        </w:r>
      </w:hyperlink>
    </w:p>
    <w:p>
      <w:pPr>
        <w:numPr>
          <w:ilvl w:val="0"/>
          <w:numId w:val="1024"/>
        </w:numPr>
      </w:pPr>
      <w:bookmarkStart w:id="195" w:name="user-content-fn-20"/>
      <w:r>
        <w:rPr>
          <w:lang w:val="en"/>
        </w:rPr>
        <w:t xml:space="preserve">¶20</w:t>
      </w:r>
      <w:r>
        <w:rPr>
          <w:lang w:val="en"/>
        </w:rPr>
        <w:t xml:space="preserve"> </w:t>
      </w:r>
      <w:bookmarkEnd w:id="195"/>
    </w:p>
    <w:p>
      <w:pPr>
        <w:numPr>
          <w:ilvl w:val="0"/>
          <w:numId w:val="1000"/>
        </w:numPr>
      </w:pPr>
      <w:r>
        <w:rPr>
          <w:lang w:val="en"/>
        </w:rPr>
        <w:t xml:space="preserve">ILO (2013).</w:t>
      </w:r>
      <w:r>
        <w:rPr>
          <w:lang w:val="en"/>
        </w:rPr>
        <w:t xml:space="preserve"> </w:t>
      </w:r>
      <w:r>
        <w:rPr>
          <w:iCs/>
          <w:i/>
          <w:lang w:val="en"/>
        </w:rPr>
        <w:t xml:space="preserve">Decent Work Indicators: Guidelines for Producers and Users of Statistical and Legal Framework Indicators</w:t>
      </w:r>
      <w:r>
        <w:rPr>
          <w:lang w:val="en"/>
        </w:rPr>
        <w:t xml:space="preserve">. 2nd edition. Geneva: ILO.</w:t>
      </w:r>
      <w:r>
        <w:rPr>
          <w:lang w:val="en"/>
        </w:rPr>
        <w:t xml:space="preserve"> </w:t>
      </w:r>
      <w:hyperlink w:anchor="user-content-fnref-20">
        <w:r>
          <w:rPr>
            <w:rStyle w:val="Hyperlink"/>
            <w:lang w:val="en"/>
          </w:rPr>
          <w:t xml:space="preserve">↩</w:t>
        </w:r>
      </w:hyperlink>
    </w:p>
    <w:p>
      <w:pPr>
        <w:numPr>
          <w:ilvl w:val="0"/>
          <w:numId w:val="1024"/>
        </w:numPr>
      </w:pPr>
      <w:bookmarkStart w:id="196" w:name="user-content-fn-21"/>
      <w:r>
        <w:rPr>
          <w:lang w:val="en"/>
        </w:rPr>
        <w:t xml:space="preserve">¶21</w:t>
      </w:r>
      <w:r>
        <w:rPr>
          <w:lang w:val="en"/>
        </w:rPr>
        <w:t xml:space="preserve"> </w:t>
      </w:r>
      <w:bookmarkEnd w:id="196"/>
    </w:p>
    <w:p>
      <w:pPr>
        <w:numPr>
          <w:ilvl w:val="0"/>
          <w:numId w:val="1000"/>
        </w:numPr>
      </w:pPr>
      <w:r>
        <w:rPr>
          <w:lang w:val="en"/>
        </w:rPr>
        <w:t xml:space="preserve">Balassa, B. (1965). “Trade Liberalisation and ‘Revealed’ Comparative Advantage.”</w:t>
      </w:r>
      <w:r>
        <w:rPr>
          <w:lang w:val="en"/>
        </w:rPr>
        <w:t xml:space="preserve"> </w:t>
      </w:r>
      <w:r>
        <w:rPr>
          <w:iCs/>
          <w:i/>
          <w:lang w:val="en"/>
        </w:rPr>
        <w:t xml:space="preserve">The Manchester School</w:t>
      </w:r>
      <w:r>
        <w:rPr>
          <w:lang w:val="en"/>
        </w:rPr>
        <w:t xml:space="preserve"> </w:t>
      </w:r>
      <w:r>
        <w:rPr>
          <w:lang w:val="en"/>
        </w:rPr>
        <w:t xml:space="preserve">33(2): 99-123.</w:t>
      </w:r>
      <w:r>
        <w:rPr>
          <w:lang w:val="en"/>
        </w:rPr>
        <w:t xml:space="preserve"> </w:t>
      </w:r>
      <w:hyperlink w:anchor="user-content-fnref-21">
        <w:r>
          <w:rPr>
            <w:rStyle w:val="Hyperlink"/>
            <w:lang w:val="en"/>
          </w:rPr>
          <w:t xml:space="preserve">↩</w:t>
        </w:r>
      </w:hyperlink>
    </w:p>
    <w:p>
      <w:pPr>
        <w:numPr>
          <w:ilvl w:val="0"/>
          <w:numId w:val="1024"/>
        </w:numPr>
      </w:pPr>
      <w:bookmarkStart w:id="197" w:name="user-content-fn-22"/>
      <w:r>
        <w:rPr>
          <w:lang w:val="en"/>
        </w:rPr>
        <w:t xml:space="preserve">¶22</w:t>
      </w:r>
      <w:r>
        <w:rPr>
          <w:lang w:val="en"/>
        </w:rPr>
        <w:t xml:space="preserve"> </w:t>
      </w:r>
      <w:bookmarkEnd w:id="197"/>
    </w:p>
    <w:p>
      <w:pPr>
        <w:numPr>
          <w:ilvl w:val="0"/>
          <w:numId w:val="1000"/>
        </w:numPr>
      </w:pPr>
      <w:r>
        <w:rPr>
          <w:lang w:val="en"/>
        </w:rPr>
        <w:t xml:space="preserve">IMF (2009).</w:t>
      </w:r>
      <w:r>
        <w:rPr>
          <w:lang w:val="en"/>
        </w:rPr>
        <w:t xml:space="preserve"> </w:t>
      </w:r>
      <w:r>
        <w:rPr>
          <w:iCs/>
          <w:i/>
          <w:lang w:val="en"/>
        </w:rPr>
        <w:t xml:space="preserve">Balance of Payments and International Investment Position Manual</w:t>
      </w:r>
      <w:r>
        <w:rPr>
          <w:lang w:val="en"/>
        </w:rPr>
        <w:t xml:space="preserve">. 6th edition (BPM6). Washington, D.C.: International Monetary Fund. Chapter 10 on goods and services, particularly Section C on transport services.</w:t>
      </w:r>
      <w:r>
        <w:rPr>
          <w:lang w:val="en"/>
        </w:rPr>
        <w:t xml:space="preserve"> </w:t>
      </w:r>
      <w:hyperlink w:anchor="user-content-fnref-22">
        <w:r>
          <w:rPr>
            <w:rStyle w:val="Hyperlink"/>
            <w:lang w:val="en"/>
          </w:rPr>
          <w:t xml:space="preserve">↩</w:t>
        </w:r>
      </w:hyperlink>
    </w:p>
    <w:p>
      <w:pPr>
        <w:numPr>
          <w:ilvl w:val="0"/>
          <w:numId w:val="1024"/>
        </w:numPr>
      </w:pPr>
      <w:bookmarkStart w:id="198" w:name="user-content-fn-23"/>
      <w:r>
        <w:rPr>
          <w:lang w:val="en"/>
        </w:rPr>
        <w:t xml:space="preserve">¶23</w:t>
      </w:r>
      <w:r>
        <w:rPr>
          <w:lang w:val="en"/>
        </w:rPr>
        <w:t xml:space="preserve"> </w:t>
      </w:r>
      <w:bookmarkEnd w:id="198"/>
    </w:p>
    <w:p>
      <w:pPr>
        <w:numPr>
          <w:ilvl w:val="0"/>
          <w:numId w:val="1000"/>
        </w:numPr>
      </w:pPr>
      <w:r>
        <w:rPr>
          <w:lang w:val="en"/>
        </w:rPr>
        <w:t xml:space="preserve">UNCTAD (2022).</w:t>
      </w:r>
      <w:r>
        <w:rPr>
          <w:lang w:val="en"/>
        </w:rPr>
        <w:t xml:space="preserve"> </w:t>
      </w:r>
      <w:r>
        <w:rPr>
          <w:iCs/>
          <w:i/>
          <w:lang w:val="en"/>
        </w:rPr>
        <w:t xml:space="preserve">World Investment Report 2022</w:t>
      </w:r>
      <w:r>
        <w:rPr>
          <w:lang w:val="en"/>
        </w:rPr>
        <w:t xml:space="preserve">. Geneva: United Nations Conference on Trade and Development. Chapter on sustainable blue economy investment.</w:t>
      </w:r>
      <w:r>
        <w:rPr>
          <w:lang w:val="en"/>
        </w:rPr>
        <w:t xml:space="preserve"> </w:t>
      </w:r>
      <w:hyperlink w:anchor="user-content-fnref-23">
        <w:r>
          <w:rPr>
            <w:rStyle w:val="Hyperlink"/>
            <w:lang w:val="en"/>
          </w:rPr>
          <w:t xml:space="preserve">↩</w:t>
        </w:r>
      </w:hyperlink>
    </w:p>
    <w:p>
      <w:pPr>
        <w:numPr>
          <w:ilvl w:val="0"/>
          <w:numId w:val="1024"/>
        </w:numPr>
      </w:pPr>
      <w:bookmarkStart w:id="199" w:name="user-content-fn-24"/>
      <w:r>
        <w:rPr>
          <w:lang w:val="en"/>
        </w:rPr>
        <w:t xml:space="preserve">¶24</w:t>
      </w:r>
      <w:r>
        <w:rPr>
          <w:lang w:val="en"/>
        </w:rPr>
        <w:t xml:space="preserve"> </w:t>
      </w:r>
      <w:bookmarkEnd w:id="199"/>
    </w:p>
    <w:p>
      <w:pPr>
        <w:numPr>
          <w:ilvl w:val="0"/>
          <w:numId w:val="1000"/>
        </w:numPr>
      </w:pPr>
      <w:r>
        <w:rPr>
          <w:lang w:val="en"/>
        </w:rPr>
        <w:t xml:space="preserve">United Nations (2000).</w:t>
      </w:r>
      <w:r>
        <w:rPr>
          <w:lang w:val="en"/>
        </w:rPr>
        <w:t xml:space="preserve"> </w:t>
      </w:r>
      <w:r>
        <w:rPr>
          <w:iCs/>
          <w:i/>
          <w:lang w:val="en"/>
        </w:rPr>
        <w:t xml:space="preserve">Classification of the Functions of Government (COFOG)</w:t>
      </w:r>
      <w:r>
        <w:rPr>
          <w:lang w:val="en"/>
        </w:rPr>
        <w:t xml:space="preserve">. In</w:t>
      </w:r>
      <w:r>
        <w:rPr>
          <w:lang w:val="en"/>
        </w:rPr>
        <w:t xml:space="preserve"> </w:t>
      </w:r>
      <w:r>
        <w:rPr>
          <w:iCs/>
          <w:i/>
          <w:lang w:val="en"/>
        </w:rPr>
        <w:t xml:space="preserve">Classifications of Expenditure According to Purpose</w:t>
      </w:r>
      <w:r>
        <w:rPr>
          <w:lang w:val="en"/>
        </w:rPr>
        <w:t xml:space="preserve">. Statistical Papers Series M No. 84. New York: United Nations.</w:t>
      </w:r>
      <w:r>
        <w:rPr>
          <w:lang w:val="en"/>
        </w:rPr>
        <w:t xml:space="preserve"> </w:t>
      </w:r>
      <w:hyperlink w:anchor="user-content-fnref-24">
        <w:r>
          <w:rPr>
            <w:rStyle w:val="Hyperlink"/>
            <w:lang w:val="en"/>
          </w:rPr>
          <w:t xml:space="preserve">↩</w:t>
        </w:r>
      </w:hyperlink>
    </w:p>
    <w:p>
      <w:pPr>
        <w:numPr>
          <w:ilvl w:val="0"/>
          <w:numId w:val="1024"/>
        </w:numPr>
      </w:pPr>
      <w:bookmarkStart w:id="200" w:name="user-content-fn-25"/>
      <w:r>
        <w:rPr>
          <w:lang w:val="en"/>
        </w:rPr>
        <w:t xml:space="preserve">¶25</w:t>
      </w:r>
      <w:r>
        <w:rPr>
          <w:lang w:val="en"/>
        </w:rPr>
        <w:t xml:space="preserve"> </w:t>
      </w:r>
      <w:bookmarkEnd w:id="200"/>
    </w:p>
    <w:p>
      <w:pPr>
        <w:numPr>
          <w:ilvl w:val="0"/>
          <w:numId w:val="1000"/>
        </w:numPr>
      </w:pPr>
      <w:r>
        <w:rPr>
          <w:lang w:val="en"/>
        </w:rPr>
        <w:t xml:space="preserve">World Tourism Organization (2024).</w:t>
      </w:r>
      <w:r>
        <w:rPr>
          <w:lang w:val="en"/>
        </w:rPr>
        <w:t xml:space="preserve"> </w:t>
      </w:r>
      <w:r>
        <w:rPr>
          <w:iCs/>
          <w:i/>
          <w:lang w:val="en"/>
        </w:rPr>
        <w:t xml:space="preserve">SF-MST</w:t>
      </w:r>
      <w:r>
        <w:rPr>
          <w:lang w:val="en"/>
        </w:rPr>
        <w:t xml:space="preserve">, Table 3.9 on “Tourism related Functions of Government — COFOG classes.” The mapping in Table 3.4 adapts this approach for ocean economy functions.</w:t>
      </w:r>
      <w:r>
        <w:rPr>
          <w:lang w:val="en"/>
        </w:rPr>
        <w:t xml:space="preserve"> </w:t>
      </w:r>
      <w:hyperlink w:anchor="user-content-fnref-25">
        <w:r>
          <w:rPr>
            <w:rStyle w:val="Hyperlink"/>
            <w:lang w:val="en"/>
          </w:rPr>
          <w:t xml:space="preserve">↩</w:t>
        </w:r>
      </w:hyperlink>
    </w:p>
    <w:p>
      <w:pPr>
        <w:numPr>
          <w:ilvl w:val="0"/>
          <w:numId w:val="1024"/>
        </w:numPr>
      </w:pPr>
      <w:bookmarkStart w:id="201" w:name="user-content-fn-26"/>
      <w:r>
        <w:rPr>
          <w:lang w:val="en"/>
        </w:rPr>
        <w:t xml:space="preserve">¶26</w:t>
      </w:r>
      <w:r>
        <w:rPr>
          <w:lang w:val="en"/>
        </w:rPr>
        <w:t xml:space="preserve"> </w:t>
      </w:r>
      <w:bookmarkEnd w:id="201"/>
    </w:p>
    <w:p>
      <w:pPr>
        <w:numPr>
          <w:ilvl w:val="0"/>
          <w:numId w:val="1000"/>
        </w:numPr>
      </w:pPr>
      <w:r>
        <w:rPr>
          <w:lang w:val="en"/>
        </w:rPr>
        <w:t xml:space="preserve">The compilation procedure adapts the SNA 2025 supply and use table compilation methodology (Chapter 15, paras 15.9, 15.130—15.139) and the tourism ratio approach from the SF-MST (paras 2.30—2.31, 3.27—3.28). For the ocean economy context, see also</w:t>
      </w:r>
      <w:r>
        <w:rPr>
          <w:lang w:val="en"/>
        </w:rPr>
        <w:t xml:space="preserve"> </w:t>
      </w:r>
      <w:hyperlink r:id="rId32">
        <w:r>
          <w:rPr>
            <w:rStyle w:val="Hyperlink"/>
            <w:bCs/>
            <w:b/>
            <w:lang w:val="en"/>
          </w:rPr>
          <w:t xml:space="preserve">TG-3.3</w:t>
        </w:r>
      </w:hyperlink>
      <w:r>
        <w:rPr>
          <w:lang w:val="en"/>
        </w:rPr>
        <w:t xml:space="preserve"> </w:t>
      </w:r>
      <w:r>
        <w:rPr>
          <w:lang w:val="en"/>
        </w:rPr>
        <w:t xml:space="preserve">Section 3.4 on ocean economy SUT compilation.</w:t>
      </w:r>
      <w:r>
        <w:rPr>
          <w:lang w:val="en"/>
        </w:rPr>
        <w:t xml:space="preserve"> </w:t>
      </w:r>
      <w:hyperlink w:anchor="user-content-fnref-26">
        <w:r>
          <w:rPr>
            <w:rStyle w:val="Hyperlink"/>
            <w:lang w:val="en"/>
          </w:rPr>
          <w:t xml:space="preserve">↩</w:t>
        </w:r>
      </w:hyperlink>
    </w:p>
    <w:p>
      <w:pPr>
        <w:numPr>
          <w:ilvl w:val="0"/>
          <w:numId w:val="1024"/>
        </w:numPr>
      </w:pPr>
      <w:bookmarkStart w:id="202" w:name="user-content-fn-27"/>
      <w:r>
        <w:rPr>
          <w:lang w:val="en"/>
        </w:rPr>
        <w:t xml:space="preserve">¶27</w:t>
      </w:r>
      <w:r>
        <w:rPr>
          <w:lang w:val="en"/>
        </w:rPr>
        <w:t xml:space="preserve"> </w:t>
      </w:r>
      <w:bookmarkEnd w:id="202"/>
    </w:p>
    <w:p>
      <w:pPr>
        <w:numPr>
          <w:ilvl w:val="0"/>
          <w:numId w:val="1000"/>
        </w:numPr>
      </w:pPr>
      <w:r>
        <w:rPr>
          <w:lang w:val="en"/>
        </w:rPr>
        <w:t xml:space="preserve">Data source guidance aligns with</w:t>
      </w:r>
      <w:r>
        <w:rPr>
          <w:lang w:val="en"/>
        </w:rPr>
        <w:t xml:space="preserve"> </w:t>
      </w:r>
      <w:hyperlink r:id="rId148">
        <w:r>
          <w:rPr>
            <w:rStyle w:val="Hyperlink"/>
            <w:bCs/>
            <w:b/>
            <w:lang w:val="en"/>
          </w:rPr>
          <w:t xml:space="preserve">TG-4.2 Survey Methods for Ocean Economic Activity</w:t>
        </w:r>
      </w:hyperlink>
      <w:r>
        <w:rPr>
          <w:lang w:val="en"/>
        </w:rPr>
        <w:t xml:space="preserve">,</w:t>
      </w:r>
      <w:r>
        <w:rPr>
          <w:lang w:val="en"/>
        </w:rPr>
        <w:t xml:space="preserve"> </w:t>
      </w:r>
      <w:hyperlink r:id="rId149">
        <w:r>
          <w:rPr>
            <w:rStyle w:val="Hyperlink"/>
            <w:bCs/>
            <w:b/>
            <w:lang w:val="en"/>
          </w:rPr>
          <w:t xml:space="preserve">TG-4.3 Administrative Data Sources</w:t>
        </w:r>
      </w:hyperlink>
      <w:r>
        <w:rPr>
          <w:lang w:val="en"/>
        </w:rPr>
        <w:t xml:space="preserve">, and</w:t>
      </w:r>
      <w:r>
        <w:rPr>
          <w:lang w:val="en"/>
        </w:rPr>
        <w:t xml:space="preserve"> </w:t>
      </w:r>
      <w:hyperlink r:id="rId150">
        <w:r>
          <w:rPr>
            <w:rStyle w:val="Hyperlink"/>
            <w:bCs/>
            <w:b/>
            <w:lang w:val="en"/>
          </w:rPr>
          <w:t xml:space="preserve">TG-4.6 Data Harmonisation and Interoperability</w:t>
        </w:r>
      </w:hyperlink>
      <w:r>
        <w:rPr>
          <w:lang w:val="en"/>
        </w:rPr>
        <w:t xml:space="preserve"> </w:t>
      </w:r>
      <w:r>
        <w:rPr>
          <w:lang w:val="en"/>
        </w:rPr>
        <w:t xml:space="preserve">in the Ocean Accounts Technical Guidance series.</w:t>
      </w:r>
      <w:r>
        <w:rPr>
          <w:lang w:val="en"/>
        </w:rPr>
        <w:t xml:space="preserve"> </w:t>
      </w:r>
      <w:hyperlink w:anchor="user-content-fnref-27">
        <w:r>
          <w:rPr>
            <w:rStyle w:val="Hyperlink"/>
            <w:lang w:val="en"/>
          </w:rPr>
          <w:t xml:space="preserve">↩</w:t>
        </w:r>
      </w:hyperlink>
    </w:p>
    <w:bookmarkStart w:id="203" w:name="tg-peek-card"/>
    <w:bookmarkEnd w:id="20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svgz" /><Relationship Type="http://schemas.openxmlformats.org/officeDocument/2006/relationships/image" Id="rId49" Target="media/rId49.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39" Target="https://guidance.oceanaccounts.org/circulars/section-0/0-2-standards-overview" TargetMode="External" /><Relationship Type="http://schemas.openxmlformats.org/officeDocument/2006/relationships/hyperlink" Id="rId163" Target="https://guidance.oceanaccounts.org/circulars/section-0/0-7-quality-assurance" TargetMode="External" /><Relationship Type="http://schemas.openxmlformats.org/officeDocument/2006/relationships/hyperlink" Id="rId55" Target="https://guidance.oceanaccounts.org/circulars/section-1/1-0-ocean-blue-economy" TargetMode="External" /><Relationship Type="http://schemas.openxmlformats.org/officeDocument/2006/relationships/hyperlink" Id="rId33" Target="https://guidance.oceanaccounts.org/circulars/section-1/1-1-budget-processes" TargetMode="External" /><Relationship Type="http://schemas.openxmlformats.org/officeDocument/2006/relationships/hyperlink" Id="rId34" Target="https://guidance.oceanaccounts.org/circulars/section-2/2-10-mea-indicators" TargetMode="External" /><Relationship Type="http://schemas.openxmlformats.org/officeDocument/2006/relationships/hyperlink" Id="rId122" Target="https://guidance.oceanaccounts.org/circulars/section-2/2-3-livelihood-dependencies" TargetMode="External" /><Relationship Type="http://schemas.openxmlformats.org/officeDocument/2006/relationships/hyperlink" Id="rId132" Target="https://guidance.oceanaccounts.org/circulars/section-2/2-6-ocean-investment" TargetMode="External" /><Relationship Type="http://schemas.openxmlformats.org/officeDocument/2006/relationships/hyperlink" Id="rId101" Target="https://guidance.oceanaccounts.org/circulars/section-3/3-1-assets" TargetMode="External" /><Relationship Type="http://schemas.openxmlformats.org/officeDocument/2006/relationships/hyperlink" Id="rId79" Target="https://guidance.oceanaccounts.org/circulars/section-3/3-10-offshore-energy" TargetMode="External" /><Relationship Type="http://schemas.openxmlformats.org/officeDocument/2006/relationships/hyperlink" Id="rId32" Target="https://guidance.oceanaccounts.org/circulars/section-3/3-3-economic-activity" TargetMode="External" /><Relationship Type="http://schemas.openxmlformats.org/officeDocument/2006/relationships/hyperlink" Id="rId118" Target="https://guidance.oceanaccounts.org/circulars/section-3/3-9-aquaculture" TargetMode="External" /><Relationship Type="http://schemas.openxmlformats.org/officeDocument/2006/relationships/hyperlink" Id="rId148" Target="https://guidance.oceanaccounts.org/circulars/section-4/4-2-survey-methods" TargetMode="External" /><Relationship Type="http://schemas.openxmlformats.org/officeDocument/2006/relationships/hyperlink" Id="rId149" Target="https://guidance.oceanaccounts.org/circulars/section-4/4-3-administrative-data" TargetMode="External" /><Relationship Type="http://schemas.openxmlformats.org/officeDocument/2006/relationships/hyperlink" Id="rId150" Target="https://guidance.oceanaccounts.org/circulars/section-4/4-6-data-harmonisation" TargetMode="External" /><Relationship Type="http://schemas.openxmlformats.org/officeDocument/2006/relationships/hyperlink" Id="rId108" Target="https://guidance.oceanaccounts.org/circulars/section-6/6-7-fisheries-stock-assessment" TargetMode="External" /><Relationship Type="http://schemas.openxmlformats.org/officeDocument/2006/relationships/hyperlink" Id="rId183" Target="https://oceanaccounts.org/publications/valuing-the-ocean-economy-lessons-from-earlier-adopters/" TargetMode="External" /><Relationship Type="http://schemas.openxmlformats.org/officeDocument/2006/relationships/hyperlink" Id="rId180" Target="https://www.oceanaccounts.org/a-guide-to-creating-core-ocean-gdp-accounts/"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8" Target="https://guidance.oceanaccounts.org/circulars/section-0/0-1-general-introduction" TargetMode="External" /><Relationship Type="http://schemas.openxmlformats.org/officeDocument/2006/relationships/hyperlink" Id="rId39" Target="https://guidance.oceanaccounts.org/circulars/section-0/0-2-standards-overview" TargetMode="External" /><Relationship Type="http://schemas.openxmlformats.org/officeDocument/2006/relationships/hyperlink" Id="rId163" Target="https://guidance.oceanaccounts.org/circulars/section-0/0-7-quality-assurance" TargetMode="External" /><Relationship Type="http://schemas.openxmlformats.org/officeDocument/2006/relationships/hyperlink" Id="rId55" Target="https://guidance.oceanaccounts.org/circulars/section-1/1-0-ocean-blue-economy" TargetMode="External" /><Relationship Type="http://schemas.openxmlformats.org/officeDocument/2006/relationships/hyperlink" Id="rId33" Target="https://guidance.oceanaccounts.org/circulars/section-1/1-1-budget-processes" TargetMode="External" /><Relationship Type="http://schemas.openxmlformats.org/officeDocument/2006/relationships/hyperlink" Id="rId34" Target="https://guidance.oceanaccounts.org/circulars/section-2/2-10-mea-indicators" TargetMode="External" /><Relationship Type="http://schemas.openxmlformats.org/officeDocument/2006/relationships/hyperlink" Id="rId122" Target="https://guidance.oceanaccounts.org/circulars/section-2/2-3-livelihood-dependencies" TargetMode="External" /><Relationship Type="http://schemas.openxmlformats.org/officeDocument/2006/relationships/hyperlink" Id="rId132" Target="https://guidance.oceanaccounts.org/circulars/section-2/2-6-ocean-investment" TargetMode="External" /><Relationship Type="http://schemas.openxmlformats.org/officeDocument/2006/relationships/hyperlink" Id="rId101" Target="https://guidance.oceanaccounts.org/circulars/section-3/3-1-assets" TargetMode="External" /><Relationship Type="http://schemas.openxmlformats.org/officeDocument/2006/relationships/hyperlink" Id="rId79" Target="https://guidance.oceanaccounts.org/circulars/section-3/3-10-offshore-energy" TargetMode="External" /><Relationship Type="http://schemas.openxmlformats.org/officeDocument/2006/relationships/hyperlink" Id="rId32" Target="https://guidance.oceanaccounts.org/circulars/section-3/3-3-economic-activity" TargetMode="External" /><Relationship Type="http://schemas.openxmlformats.org/officeDocument/2006/relationships/hyperlink" Id="rId118" Target="https://guidance.oceanaccounts.org/circulars/section-3/3-9-aquaculture" TargetMode="External" /><Relationship Type="http://schemas.openxmlformats.org/officeDocument/2006/relationships/hyperlink" Id="rId148" Target="https://guidance.oceanaccounts.org/circulars/section-4/4-2-survey-methods" TargetMode="External" /><Relationship Type="http://schemas.openxmlformats.org/officeDocument/2006/relationships/hyperlink" Id="rId149" Target="https://guidance.oceanaccounts.org/circulars/section-4/4-3-administrative-data" TargetMode="External" /><Relationship Type="http://schemas.openxmlformats.org/officeDocument/2006/relationships/hyperlink" Id="rId150" Target="https://guidance.oceanaccounts.org/circulars/section-4/4-6-data-harmonisation" TargetMode="External" /><Relationship Type="http://schemas.openxmlformats.org/officeDocument/2006/relationships/hyperlink" Id="rId108" Target="https://guidance.oceanaccounts.org/circulars/section-6/6-7-fisheries-stock-assessment" TargetMode="External" /><Relationship Type="http://schemas.openxmlformats.org/officeDocument/2006/relationships/hyperlink" Id="rId183" Target="https://oceanaccounts.org/publications/valuing-the-ocean-economy-lessons-from-earlier-adopters/" TargetMode="External" /><Relationship Type="http://schemas.openxmlformats.org/officeDocument/2006/relationships/hyperlink" Id="rId180" Target="https://www.oceanaccounts.org/a-guide-to-creating-core-ocean-gdp-accoun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 and Function of the Ocean Economy | Global Ocean Accounts Partnership</dc:title>
  <dc:creator/>
  <dc:description>Compiles indicators characterising the structure and function of the ocean economy: sector composition by industry classification.</dc:description>
  <dc:language>en</dc:language>
  <cp:keywords/>
  <dcterms:created xsi:type="dcterms:W3CDTF">2026-10-23T04:12:22Z</dcterms:created>
  <dcterms:modified xsi:type="dcterms:W3CDTF">2026-10-23T04:12:22Z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https://guidance.oceanaccounts.org/circulars/section-2/2-5-ocean-economy-structure/</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Structure and Function of the Ocean Economy</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Structure and Function of the Ocean Economy</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