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Quality Assurance Principles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TG-0.7 Section 0: Concepts, Definitions and Front Matter Applied Draft TG-0.7 Applied Draft Section 0 Section 0: Concepts, Definitions and Front Matter</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TG-0.7</w:t>
            </w:r>
          </w:p>
        </w:tc>
      </w:tr>
      <w:tr>
        <w:tc>
          <w:tcPr/>
          <w:p>
            <w:pPr>
              <w:pStyle w:val="Compact"/>
              <w:jc w:val="left"/>
            </w:pPr>
            <w:r>
              <w:rPr>
                <w:bCs/>
                <w:b/>
                <w:lang w:val="en"/>
              </w:rPr>
              <w:t xml:space="preserve">Version</w:t>
            </w:r>
          </w:p>
        </w:tc>
        <w:tc>
          <w:tcPr/>
          <w:p>
            <w:pPr>
              <w:pStyle w:val="Compact"/>
              <w:jc w:val="left"/>
            </w:pPr>
            <w:r>
              <w:rPr>
                <w:lang w:val="en"/>
              </w:rPr>
              <w:t xml:space="preserve">0.7.1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TG-0.7 · Section 0: Concepts, Definitions and Front Matter · 1 September 2026</w:t>
      </w:r>
    </w:p>
    <w:bookmarkStart w:id="26" w:name="quality-assurance-principles"/>
    <w:p>
      <w:pPr>
        <w:pStyle w:val="Heading1"/>
      </w:pPr>
      <w:r>
        <w:rPr>
          <w:lang w:val="en"/>
        </w:rPr>
        <w:t xml:space="preserve">Quality Assurance Principles</w:t>
      </w:r>
    </w:p>
    <w:p>
      <w:pPr>
        <w:pStyle w:val="FirstParagraph"/>
      </w:pPr>
      <w:r>
        <w:rPr>
          <w:lang w:val="en"/>
        </w:rPr>
        <w:t xml:space="preserve">Explains the quality assurance principles that apply across all ocean accounting work, and how to document and review compiled accounts.</w:t>
      </w:r>
    </w:p>
    <w:p>
      <w:pPr>
        <w:pStyle w:val="DefinitionTerm"/>
      </w:pPr>
      <w:r>
        <w:rPr>
          <w:lang w:val="en"/>
        </w:rPr>
        <w:t xml:space="preserve">Version</w:t>
      </w:r>
    </w:p>
    <w:p>
      <w:pPr>
        <w:pStyle w:val="Definition"/>
      </w:pPr>
      <w:r>
        <w:rPr>
          <w:lang w:val="en"/>
        </w:rPr>
        <w:t xml:space="preserve">0.7.1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9fea90d3187f0d1f5190736b2b74dff4ec31809">
        <w:r>
          <w:rPr>
            <w:rStyle w:val="Hyperlink"/>
            <w:lang w:val="en"/>
          </w:rPr>
          <w:t xml:space="preserve">3.1 Purpose of Quality Assurance</w:t>
        </w:r>
      </w:hyperlink>
    </w:p>
    <w:p>
      <w:pPr>
        <w:numPr>
          <w:ilvl w:val="1"/>
          <w:numId w:val="1002"/>
        </w:numPr>
        <w:pStyle w:val="Compact"/>
      </w:pPr>
      <w:hyperlink w:anchor="X44e0dfa1f56ae91792118f2037f3cbc9600dadc">
        <w:r>
          <w:rPr>
            <w:rStyle w:val="Hyperlink"/>
            <w:lang w:val="en"/>
          </w:rPr>
          <w:t xml:space="preserve">3.2 Six Dimensions of Data Quality</w:t>
        </w:r>
      </w:hyperlink>
    </w:p>
    <w:p>
      <w:pPr>
        <w:numPr>
          <w:ilvl w:val="1"/>
          <w:numId w:val="1002"/>
        </w:numPr>
        <w:pStyle w:val="Compact"/>
      </w:pPr>
      <w:hyperlink w:anchor="Xc5ae6699e27c16678c3a9d0ad639d8d310d2ccc">
        <w:r>
          <w:rPr>
            <w:rStyle w:val="Hyperlink"/>
            <w:lang w:val="en"/>
          </w:rPr>
          <w:t xml:space="preserve">3.3 Institutional Environment</w:t>
        </w:r>
      </w:hyperlink>
    </w:p>
    <w:p>
      <w:pPr>
        <w:numPr>
          <w:ilvl w:val="1"/>
          <w:numId w:val="1002"/>
        </w:numPr>
        <w:pStyle w:val="Compact"/>
      </w:pPr>
      <w:hyperlink w:anchor="Xc39d8936ef1a730cf7af27c053338ab8db92793">
        <w:r>
          <w:rPr>
            <w:rStyle w:val="Hyperlink"/>
            <w:lang w:val="en"/>
          </w:rPr>
          <w:t xml:space="preserve">3.4 Four Categories of Uncertainty</w:t>
        </w:r>
      </w:hyperlink>
    </w:p>
    <w:p>
      <w:pPr>
        <w:numPr>
          <w:ilvl w:val="1"/>
          <w:numId w:val="1002"/>
        </w:numPr>
        <w:pStyle w:val="Compact"/>
      </w:pPr>
      <w:hyperlink w:anchor="Xf45619442b79d7a0328ebb5b6275856da1e1734">
        <w:r>
          <w:rPr>
            <w:rStyle w:val="Hyperlink"/>
            <w:lang w:val="en"/>
          </w:rPr>
          <w:t xml:space="preserve">3.5 Documentation Requirements</w:t>
        </w:r>
      </w:hyperlink>
    </w:p>
    <w:p>
      <w:pPr>
        <w:numPr>
          <w:ilvl w:val="1"/>
          <w:numId w:val="1002"/>
        </w:numPr>
        <w:pStyle w:val="Compact"/>
      </w:pPr>
      <w:hyperlink w:anchor="X6ed5d8ea8c55b046a2c00f5cd72be9f4b9f8913">
        <w:r>
          <w:rPr>
            <w:rStyle w:val="Hyperlink"/>
            <w:lang w:val="en"/>
          </w:rPr>
          <w:t xml:space="preserve">3.6 Quality Flags for Accounts Tables</w:t>
        </w:r>
      </w:hyperlink>
    </w:p>
    <w:p>
      <w:pPr>
        <w:numPr>
          <w:ilvl w:val="1"/>
          <w:numId w:val="1002"/>
        </w:numPr>
        <w:pStyle w:val="Compact"/>
      </w:pPr>
      <w:hyperlink w:anchor="X5869256d73480a2853097df5af6f65c81c6bd63">
        <w:r>
          <w:rPr>
            <w:rStyle w:val="Hyperlink"/>
            <w:lang w:val="en"/>
          </w:rPr>
          <w:t xml:space="preserve">3.7 Quality Improvement Strategies</w:t>
        </w:r>
      </w:hyperlink>
    </w:p>
    <w:p>
      <w:pPr>
        <w:numPr>
          <w:ilvl w:val="1"/>
          <w:numId w:val="1002"/>
        </w:numPr>
        <w:pStyle w:val="Compact"/>
      </w:pPr>
      <w:hyperlink w:anchor="X085f75c773f4bbd708a5d711237dfe1622e8037">
        <w:r>
          <w:rPr>
            <w:rStyle w:val="Hyperlink"/>
            <w:lang w:val="en"/>
          </w:rPr>
          <w:t xml:space="preserve">3.8 Tiered Implementation Frameworks</w:t>
        </w:r>
      </w:hyperlink>
    </w:p>
    <w:p>
      <w:pPr>
        <w:numPr>
          <w:ilvl w:val="1"/>
          <w:numId w:val="1002"/>
        </w:numPr>
        <w:pStyle w:val="Compact"/>
      </w:pPr>
      <w:hyperlink w:anchor="X2884ba53178f6893f007fb22e50a90049f07cc2">
        <w:r>
          <w:rPr>
            <w:rStyle w:val="Hyperlink"/>
            <w:lang w:val="en"/>
          </w:rPr>
          <w:t xml:space="preserve">3.9 Circular-Specific QA Guidance</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Quality Assurance Principles (2026) (GOAP Technical Guidance on Ocean Accounting, TG-0.7, v0.7.1). GOAP Secretariat. https://guidance.oceanaccounts.org/circulars/section-0/0-7-quality-assurance/</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reading this Circular, you will understand the quality assurance principles that apply across all ocean accounting work. These principles cover data quality dimensions, uncertainty categories, and documentation standards, and are referenced by all other circulars in the Technical Guidance.</w:t>
      </w:r>
    </w:p>
    <w:bookmarkStart w:id="34"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4"/>
    <w:p>
      <w:pPr>
        <w:pStyle w:val="BodyText"/>
      </w:pPr>
      <w:r>
        <w:rPr>
          <w:lang w:val="en"/>
        </w:rPr>
        <w:t xml:space="preserve">¶1</w:t>
      </w:r>
      <w:r>
        <w:rPr>
          <w:lang w:val="en"/>
        </w:rPr>
        <w:t xml:space="preserve"> </w:t>
      </w:r>
      <w:r>
        <w:rPr>
          <w:bCs/>
          <w:b/>
          <w:lang w:val="en"/>
        </w:rPr>
        <w:t xml:space="preserve">Essential prerequisites:</w:t>
      </w:r>
    </w:p>
    <w:p>
      <w:pPr>
        <w:numPr>
          <w:ilvl w:val="0"/>
          <w:numId w:val="1003"/>
        </w:numPr>
        <w:pStyle w:val="Compact"/>
      </w:pPr>
      <w:r>
        <w:rPr>
          <w:lang w:val="en"/>
        </w:rPr>
        <w:t xml:space="preserve">¶2</w:t>
      </w:r>
      <w:r>
        <w:rPr>
          <w:lang w:val="en"/>
        </w:rPr>
        <w:t xml:space="preserve"> </w:t>
      </w:r>
      <w:hyperlink r:id="rId35">
        <w:r>
          <w:rPr>
            <w:rStyle w:val="Hyperlink"/>
            <w:bCs/>
            <w:b/>
            <w:lang w:val="en"/>
          </w:rPr>
          <w:t xml:space="preserve">TG-0.1 General Introduction to Ocean Accounts</w:t>
        </w:r>
      </w:hyperlink>
      <w:r>
        <w:rPr>
          <w:lang w:val="en"/>
        </w:rPr>
        <w:t xml:space="preserve"> </w:t>
      </w:r>
      <w:r>
        <w:rPr>
          <w:lang w:val="en"/>
        </w:rPr>
        <w:t xml:space="preserve">— for the conceptual framework and the three-domain structure of Ocean Accounts</w:t>
      </w:r>
    </w:p>
    <w:p>
      <w:pPr>
        <w:pStyle w:val="FirstParagraph"/>
      </w:pPr>
      <w:r>
        <w:rPr>
          <w:lang w:val="en"/>
        </w:rPr>
        <w:t xml:space="preserve">¶3</w:t>
      </w:r>
      <w:r>
        <w:rPr>
          <w:lang w:val="en"/>
        </w:rPr>
        <w:t xml:space="preserve"> </w:t>
      </w:r>
      <w:r>
        <w:rPr>
          <w:bCs/>
          <w:b/>
          <w:lang w:val="en"/>
        </w:rPr>
        <w:t xml:space="preserve">Helpful background:</w:t>
      </w:r>
    </w:p>
    <w:p>
      <w:pPr>
        <w:numPr>
          <w:ilvl w:val="0"/>
          <w:numId w:val="1004"/>
        </w:numPr>
        <w:pStyle w:val="Compact"/>
      </w:pPr>
      <w:r>
        <w:rPr>
          <w:lang w:val="en"/>
        </w:rPr>
        <w:t xml:space="preserve">¶4</w:t>
      </w:r>
      <w:r>
        <w:rPr>
          <w:lang w:val="en"/>
        </w:rPr>
        <w:t xml:space="preserve"> </w:t>
      </w:r>
      <w:hyperlink r:id="rId36">
        <w:r>
          <w:rPr>
            <w:rStyle w:val="Hyperlink"/>
            <w:bCs/>
            <w:b/>
            <w:lang w:val="en"/>
          </w:rPr>
          <w:t xml:space="preserve">TG-0.2 Overview of Relevant Statistical Standards</w:t>
        </w:r>
      </w:hyperlink>
      <w:r>
        <w:rPr>
          <w:lang w:val="en"/>
        </w:rPr>
        <w:t xml:space="preserve"> </w:t>
      </w:r>
      <w:r>
        <w:rPr>
          <w:lang w:val="en"/>
        </w:rPr>
        <w:t xml:space="preserve">— for the SEEA EA quality dimensions and statistical standards referenced throughout</w:t>
      </w:r>
    </w:p>
    <w:bookmarkStart w:id="39"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39"/>
    <w:bookmarkStart w:id="42" w:name="X9fea90d3187f0d1f5190736b2b74dff4ec31809"/>
    <w:p>
      <w:pPr>
        <w:pStyle w:val="Heading3"/>
      </w:pPr>
      <w:r>
        <w:rPr>
          <w:lang w:val="en"/>
        </w:rPr>
        <w:t xml:space="preserve">3.1</w:t>
      </w:r>
      <w:r>
        <w:rPr>
          <w:lang w:val="en"/>
        </w:rPr>
        <w:t xml:space="preserve"> </w:t>
      </w:r>
      <w:r>
        <w:rPr>
          <w:lang w:val="en"/>
        </w:rPr>
        <w:t xml:space="preserve">Purpose of Quality Assurance</w:t>
      </w:r>
    </w:p>
    <w:p>
      <w:pPr>
        <w:pStyle w:val="FirstParagraph"/>
      </w:pPr>
      <w:hyperlink w:anchor="X9fea90d3187f0d1f5190736b2b74dff4ec31809">
        <w:r>
          <w:drawing>
            <wp:inline>
              <wp:extent cx="152400" cy="152400"/>
              <wp:effectExtent b="0" l="0" r="0" t="0"/>
              <wp:docPr descr="" title="" id="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Purpose of Quality Assurance”</w:t>
        </w:r>
      </w:hyperlink>
    </w:p>
    <w:bookmarkEnd w:id="42"/>
    <w:p>
      <w:pPr>
        <w:pStyle w:val="BodyText"/>
      </w:pPr>
      <w:r>
        <w:rPr>
          <w:lang w:val="en"/>
        </w:rPr>
        <w:t xml:space="preserve">¶1</w:t>
      </w:r>
      <w:r>
        <w:rPr>
          <w:lang w:val="en"/>
        </w:rPr>
        <w:t xml:space="preserve"> </w:t>
      </w:r>
      <w:r>
        <w:rPr>
          <w:lang w:val="en"/>
        </w:rPr>
        <w:t xml:space="preserve">Ocean accounts integrate data from diverse sources: environmental monitoring, economic statistics, social surveys, geospatial observations, and customary knowledge systems. Each source has different quality characteristics, and accounts compilation must address those differences systematically through the principles set out in this Circular.</w:t>
      </w:r>
    </w:p>
    <w:bookmarkStart w:id="45" w:name="X44e0dfa1f56ae91792118f2037f3cbc9600dadc"/>
    <w:p>
      <w:pPr>
        <w:pStyle w:val="Heading3"/>
      </w:pPr>
      <w:r>
        <w:rPr>
          <w:lang w:val="en"/>
        </w:rPr>
        <w:t xml:space="preserve">3.2</w:t>
      </w:r>
      <w:r>
        <w:rPr>
          <w:lang w:val="en"/>
        </w:rPr>
        <w:t xml:space="preserve"> </w:t>
      </w:r>
      <w:r>
        <w:rPr>
          <w:lang w:val="en"/>
        </w:rPr>
        <w:t xml:space="preserve">Six Dimensions of Data Quality</w:t>
      </w:r>
    </w:p>
    <w:p>
      <w:pPr>
        <w:pStyle w:val="FirstParagraph"/>
      </w:pPr>
      <w:hyperlink w:anchor="X44e0dfa1f56ae91792118f2037f3cbc9600dadc">
        <w:r>
          <w:drawing>
            <wp:inline>
              <wp:extent cx="152400" cy="152400"/>
              <wp:effectExtent b="0" l="0" r="0" t="0"/>
              <wp:docPr descr="" title="" id="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Six Dimensions of Data Quality”</w:t>
        </w:r>
      </w:hyperlink>
    </w:p>
    <w:bookmarkEnd w:id="45"/>
    <w:p>
      <w:pPr>
        <w:pStyle w:val="BodyText"/>
      </w:pPr>
      <w:r>
        <w:rPr>
          <w:lang w:val="en"/>
        </w:rPr>
        <w:t xml:space="preserve">¶1</w:t>
      </w:r>
      <w:r>
        <w:rPr>
          <w:lang w:val="en"/>
        </w:rPr>
        <w:t xml:space="preserve"> </w:t>
      </w:r>
      <w:r>
        <w:rPr>
          <w:lang w:val="en"/>
        </w:rPr>
        <w:t xml:space="preserve">The SEEA EA identifies six dimensions of data quality relevant to environmental-economic accounting, plus the quality of the institutional environment in which the data are compiled (para. 2.86; see Section 3.3). The six dimensions apply directly to ocean accounts:</w:t>
      </w:r>
    </w:p>
    <w:bookmarkStart w:id="48" w:name="X8972ddf80083590cfaa42b0ab594d7c91607c50"/>
    <w:p>
      <w:pPr>
        <w:pStyle w:val="Heading4"/>
      </w:pPr>
      <w:r>
        <w:rPr>
          <w:lang w:val="en"/>
        </w:rPr>
        <w:t xml:space="preserve">3.2.1</w:t>
      </w:r>
      <w:r>
        <w:rPr>
          <w:lang w:val="en"/>
        </w:rPr>
        <w:t xml:space="preserve"> </w:t>
      </w:r>
      <w:r>
        <w:rPr>
          <w:lang w:val="en"/>
        </w:rPr>
        <w:t xml:space="preserve">Relevance</w:t>
      </w:r>
    </w:p>
    <w:p>
      <w:pPr>
        <w:pStyle w:val="FirstParagraph"/>
      </w:pPr>
      <w:hyperlink w:anchor="X8972ddf80083590cfaa42b0ab594d7c91607c50">
        <w:r>
          <w:drawing>
            <wp:inline>
              <wp:extent cx="152400" cy="152400"/>
              <wp:effectExtent b="0" l="0" r="0" t="0"/>
              <wp:docPr descr="" title="" id="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Relevance”</w:t>
        </w:r>
      </w:hyperlink>
    </w:p>
    <w:bookmarkEnd w:id="48"/>
    <w:p>
      <w:pPr>
        <w:pStyle w:val="BodyText"/>
      </w:pPr>
      <w:r>
        <w:rPr>
          <w:lang w:val="en"/>
        </w:rPr>
        <w:t xml:space="preserve">¶1</w:t>
      </w:r>
      <w:r>
        <w:rPr>
          <w:lang w:val="en"/>
        </w:rPr>
        <w:t xml:space="preserve"> </w:t>
      </w:r>
      <w:r>
        <w:rPr>
          <w:bCs/>
          <w:b/>
          <w:lang w:val="en"/>
        </w:rPr>
        <w:t xml:space="preserve">Definition</w:t>
      </w:r>
      <w:r>
        <w:rPr>
          <w:lang w:val="en"/>
        </w:rPr>
        <w:t xml:space="preserve">: The degree to which the data serve to address the purposes for which they are sought by users.</w:t>
      </w:r>
    </w:p>
    <w:p>
      <w:pPr>
        <w:pStyle w:val="BodyText"/>
      </w:pPr>
      <w:r>
        <w:rPr>
          <w:lang w:val="en"/>
        </w:rPr>
        <w:t xml:space="preserve">¶2</w:t>
      </w:r>
      <w:r>
        <w:rPr>
          <w:lang w:val="en"/>
        </w:rPr>
        <w:t xml:space="preserve"> </w:t>
      </w:r>
      <w:r>
        <w:rPr>
          <w:bCs/>
          <w:b/>
          <w:lang w:val="en"/>
        </w:rPr>
        <w:t xml:space="preserve">Ocean accounts considerations</w:t>
      </w:r>
      <w:r>
        <w:rPr>
          <w:lang w:val="en"/>
        </w:rPr>
        <w:t xml:space="preserve">:</w:t>
      </w:r>
    </w:p>
    <w:p>
      <w:pPr>
        <w:numPr>
          <w:ilvl w:val="0"/>
          <w:numId w:val="1005"/>
        </w:numPr>
        <w:pStyle w:val="Compact"/>
      </w:pPr>
      <w:r>
        <w:rPr>
          <w:lang w:val="en"/>
        </w:rPr>
        <w:t xml:space="preserve">¶3</w:t>
      </w:r>
      <w:r>
        <w:rPr>
          <w:lang w:val="en"/>
        </w:rPr>
        <w:t xml:space="preserve"> </w:t>
      </w:r>
      <w:r>
        <w:rPr>
          <w:lang w:val="en"/>
        </w:rPr>
        <w:t xml:space="preserve">Do the accounts address the policy questions being asked?</w:t>
      </w:r>
    </w:p>
    <w:p>
      <w:pPr>
        <w:numPr>
          <w:ilvl w:val="0"/>
          <w:numId w:val="1005"/>
        </w:numPr>
        <w:pStyle w:val="Compact"/>
      </w:pPr>
      <w:r>
        <w:rPr>
          <w:lang w:val="en"/>
        </w:rPr>
        <w:t xml:space="preserve">¶4</w:t>
      </w:r>
      <w:r>
        <w:rPr>
          <w:lang w:val="en"/>
        </w:rPr>
        <w:t xml:space="preserve"> </w:t>
      </w:r>
      <w:r>
        <w:rPr>
          <w:lang w:val="en"/>
        </w:rPr>
        <w:t xml:space="preserve">Are the spatial and temporal resolutions appropriate for the intended use?</w:t>
      </w:r>
    </w:p>
    <w:p>
      <w:pPr>
        <w:numPr>
          <w:ilvl w:val="0"/>
          <w:numId w:val="1005"/>
        </w:numPr>
        <w:pStyle w:val="Compact"/>
      </w:pPr>
      <w:r>
        <w:rPr>
          <w:lang w:val="en"/>
        </w:rPr>
        <w:t xml:space="preserve">¶5</w:t>
      </w:r>
      <w:r>
        <w:rPr>
          <w:lang w:val="en"/>
        </w:rPr>
        <w:t xml:space="preserve"> </w:t>
      </w:r>
      <w:r>
        <w:rPr>
          <w:lang w:val="en"/>
        </w:rPr>
        <w:t xml:space="preserve">Are the ecosystem types and economic sectors adequately disaggregated?</w:t>
      </w:r>
    </w:p>
    <w:p>
      <w:pPr>
        <w:pStyle w:val="FirstParagraph"/>
      </w:pPr>
      <w:r>
        <w:rPr>
          <w:lang w:val="en"/>
        </w:rPr>
        <w:t xml:space="preserve">¶6</w:t>
      </w:r>
      <w:r>
        <w:rPr>
          <w:lang w:val="en"/>
        </w:rPr>
        <w:t xml:space="preserve"> </w:t>
      </w:r>
      <w:r>
        <w:rPr>
          <w:bCs/>
          <w:b/>
          <w:lang w:val="en"/>
        </w:rPr>
        <w:t xml:space="preserve">Example</w:t>
      </w:r>
      <w:r>
        <w:rPr>
          <w:lang w:val="en"/>
        </w:rPr>
        <w:t xml:space="preserve">: An ocean account designed to inform marine spatial planning needs fine spatial resolution, whilst one supporting national budget processes may require less geographic detail but more reliable monetary estimates.</w:t>
      </w:r>
    </w:p>
    <w:bookmarkStart w:id="51" w:name="X962c0c3dbe468c72e7b0b9ea693ac1d55b21328"/>
    <w:p>
      <w:pPr>
        <w:pStyle w:val="Heading4"/>
      </w:pPr>
      <w:r>
        <w:rPr>
          <w:lang w:val="en"/>
        </w:rPr>
        <w:t xml:space="preserve">3.2.2</w:t>
      </w:r>
      <w:r>
        <w:rPr>
          <w:lang w:val="en"/>
        </w:rPr>
        <w:t xml:space="preserve"> </w:t>
      </w:r>
      <w:r>
        <w:rPr>
          <w:lang w:val="en"/>
        </w:rPr>
        <w:t xml:space="preserve">Timeliness</w:t>
      </w:r>
    </w:p>
    <w:p>
      <w:pPr>
        <w:pStyle w:val="FirstParagraph"/>
      </w:pPr>
      <w:hyperlink w:anchor="X962c0c3dbe468c72e7b0b9ea693ac1d55b21328">
        <w:r>
          <w:drawing>
            <wp:inline>
              <wp:extent cx="152400" cy="152400"/>
              <wp:effectExtent b="0" l="0" r="0" t="0"/>
              <wp:docPr descr="" title="" id="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Timeliness”</w:t>
        </w:r>
      </w:hyperlink>
    </w:p>
    <w:bookmarkEnd w:id="51"/>
    <w:p>
      <w:pPr>
        <w:pStyle w:val="BodyText"/>
      </w:pPr>
      <w:r>
        <w:rPr>
          <w:lang w:val="en"/>
        </w:rPr>
        <w:t xml:space="preserve">¶1</w:t>
      </w:r>
      <w:r>
        <w:rPr>
          <w:lang w:val="en"/>
        </w:rPr>
        <w:t xml:space="preserve"> </w:t>
      </w:r>
      <w:r>
        <w:rPr>
          <w:bCs/>
          <w:b/>
          <w:lang w:val="en"/>
        </w:rPr>
        <w:t xml:space="preserve">Definition</w:t>
      </w:r>
      <w:r>
        <w:rPr>
          <w:lang w:val="en"/>
        </w:rPr>
        <w:t xml:space="preserve">: The length of time between the data reference period and availability of the information.</w:t>
      </w:r>
    </w:p>
    <w:p>
      <w:pPr>
        <w:pStyle w:val="BodyText"/>
      </w:pPr>
      <w:r>
        <w:rPr>
          <w:lang w:val="en"/>
        </w:rPr>
        <w:t xml:space="preserve">¶2</w:t>
      </w:r>
      <w:r>
        <w:rPr>
          <w:lang w:val="en"/>
        </w:rPr>
        <w:t xml:space="preserve"> </w:t>
      </w:r>
      <w:r>
        <w:rPr>
          <w:bCs/>
          <w:b/>
          <w:lang w:val="en"/>
        </w:rPr>
        <w:t xml:space="preserve">Ocean accounts considerations</w:t>
      </w:r>
      <w:r>
        <w:rPr>
          <w:lang w:val="en"/>
        </w:rPr>
        <w:t xml:space="preserve">:</w:t>
      </w:r>
    </w:p>
    <w:p>
      <w:pPr>
        <w:numPr>
          <w:ilvl w:val="0"/>
          <w:numId w:val="1006"/>
        </w:numPr>
        <w:pStyle w:val="Compact"/>
      </w:pPr>
      <w:r>
        <w:rPr>
          <w:lang w:val="en"/>
        </w:rPr>
        <w:t xml:space="preserve">¶3</w:t>
      </w:r>
      <w:r>
        <w:rPr>
          <w:lang w:val="en"/>
        </w:rPr>
        <w:t xml:space="preserve"> </w:t>
      </w:r>
      <w:r>
        <w:rPr>
          <w:lang w:val="en"/>
        </w:rPr>
        <w:t xml:space="preserve">How current are the environmental monitoring data?</w:t>
      </w:r>
    </w:p>
    <w:p>
      <w:pPr>
        <w:numPr>
          <w:ilvl w:val="0"/>
          <w:numId w:val="1006"/>
        </w:numPr>
        <w:pStyle w:val="Compact"/>
      </w:pPr>
      <w:r>
        <w:rPr>
          <w:lang w:val="en"/>
        </w:rPr>
        <w:t xml:space="preserve">¶4</w:t>
      </w:r>
      <w:r>
        <w:rPr>
          <w:lang w:val="en"/>
        </w:rPr>
        <w:t xml:space="preserve"> </w:t>
      </w:r>
      <w:r>
        <w:rPr>
          <w:lang w:val="en"/>
        </w:rPr>
        <w:t xml:space="preserve">Are there lags between economic activity and its recording in accounts?</w:t>
      </w:r>
    </w:p>
    <w:p>
      <w:pPr>
        <w:numPr>
          <w:ilvl w:val="0"/>
          <w:numId w:val="1006"/>
        </w:numPr>
        <w:pStyle w:val="Compact"/>
      </w:pPr>
      <w:r>
        <w:rPr>
          <w:lang w:val="en"/>
        </w:rPr>
        <w:t xml:space="preserve">¶5</w:t>
      </w:r>
      <w:r>
        <w:rPr>
          <w:lang w:val="en"/>
        </w:rPr>
        <w:t xml:space="preserve"> </w:t>
      </w:r>
      <w:r>
        <w:rPr>
          <w:lang w:val="en"/>
        </w:rPr>
        <w:t xml:space="preserve">How frequently are accounts updated?</w:t>
      </w:r>
    </w:p>
    <w:p>
      <w:pPr>
        <w:pStyle w:val="FirstParagraph"/>
      </w:pPr>
      <w:r>
        <w:rPr>
          <w:lang w:val="en"/>
        </w:rPr>
        <w:t xml:space="preserve">¶6</w:t>
      </w:r>
      <w:r>
        <w:rPr>
          <w:lang w:val="en"/>
        </w:rPr>
        <w:t xml:space="preserve"> </w:t>
      </w:r>
      <w:r>
        <w:rPr>
          <w:bCs/>
          <w:b/>
          <w:lang w:val="en"/>
        </w:rPr>
        <w:t xml:space="preserve">Example</w:t>
      </w:r>
      <w:r>
        <w:rPr>
          <w:lang w:val="en"/>
        </w:rPr>
        <w:t xml:space="preserve">: Satellite-derived ecosystem extent data may be available within months, whilst large-scale economic surveys may have 1-2 year lags.</w:t>
      </w:r>
    </w:p>
    <w:bookmarkStart w:id="54" w:name="X537613fd1397828b6efd5229f57c8cf74653b76"/>
    <w:p>
      <w:pPr>
        <w:pStyle w:val="Heading4"/>
      </w:pPr>
      <w:r>
        <w:rPr>
          <w:lang w:val="en"/>
        </w:rPr>
        <w:t xml:space="preserve">3.2.3</w:t>
      </w:r>
      <w:r>
        <w:rPr>
          <w:lang w:val="en"/>
        </w:rPr>
        <w:t xml:space="preserve"> </w:t>
      </w:r>
      <w:r>
        <w:rPr>
          <w:lang w:val="en"/>
        </w:rPr>
        <w:t xml:space="preserve">Accuracy</w:t>
      </w:r>
    </w:p>
    <w:p>
      <w:pPr>
        <w:pStyle w:val="FirstParagraph"/>
      </w:pPr>
      <w:hyperlink w:anchor="X537613fd1397828b6efd5229f57c8cf74653b76">
        <w:r>
          <w:drawing>
            <wp:inline>
              <wp:extent cx="152400" cy="152400"/>
              <wp:effectExtent b="0" l="0" r="0" t="0"/>
              <wp:docPr descr="" title="" id="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Accuracy”</w:t>
        </w:r>
      </w:hyperlink>
    </w:p>
    <w:bookmarkEnd w:id="54"/>
    <w:p>
      <w:pPr>
        <w:pStyle w:val="BodyText"/>
      </w:pPr>
      <w:r>
        <w:rPr>
          <w:lang w:val="en"/>
        </w:rPr>
        <w:t xml:space="preserve">¶1</w:t>
      </w:r>
      <w:r>
        <w:rPr>
          <w:lang w:val="en"/>
        </w:rPr>
        <w:t xml:space="preserve"> </w:t>
      </w:r>
      <w:r>
        <w:rPr>
          <w:bCs/>
          <w:b/>
          <w:lang w:val="en"/>
        </w:rPr>
        <w:t xml:space="preserve">Definition</w:t>
      </w:r>
      <w:r>
        <w:rPr>
          <w:lang w:val="en"/>
        </w:rPr>
        <w:t xml:space="preserve">: The degree to which the data correctly describe the phenomena they were designed to measure.</w:t>
      </w:r>
    </w:p>
    <w:p>
      <w:pPr>
        <w:pStyle w:val="BodyText"/>
      </w:pPr>
      <w:r>
        <w:rPr>
          <w:lang w:val="en"/>
        </w:rPr>
        <w:t xml:space="preserve">¶2</w:t>
      </w:r>
      <w:r>
        <w:rPr>
          <w:lang w:val="en"/>
        </w:rPr>
        <w:t xml:space="preserve"> </w:t>
      </w:r>
      <w:r>
        <w:rPr>
          <w:bCs/>
          <w:b/>
          <w:lang w:val="en"/>
        </w:rPr>
        <w:t xml:space="preserve">Ocean accounts considerations</w:t>
      </w:r>
      <w:r>
        <w:rPr>
          <w:lang w:val="en"/>
        </w:rPr>
        <w:t xml:space="preserve">:</w:t>
      </w:r>
    </w:p>
    <w:p>
      <w:pPr>
        <w:numPr>
          <w:ilvl w:val="0"/>
          <w:numId w:val="1007"/>
        </w:numPr>
        <w:pStyle w:val="Compact"/>
      </w:pPr>
      <w:r>
        <w:rPr>
          <w:lang w:val="en"/>
        </w:rPr>
        <w:t xml:space="preserve">¶3</w:t>
      </w:r>
      <w:r>
        <w:rPr>
          <w:lang w:val="en"/>
        </w:rPr>
        <w:t xml:space="preserve"> </w:t>
      </w:r>
      <w:r>
        <w:rPr>
          <w:lang w:val="en"/>
        </w:rPr>
        <w:t xml:space="preserve">What are the measurement errors in environmental monitoring?</w:t>
      </w:r>
    </w:p>
    <w:p>
      <w:pPr>
        <w:numPr>
          <w:ilvl w:val="0"/>
          <w:numId w:val="1007"/>
        </w:numPr>
        <w:pStyle w:val="Compact"/>
      </w:pPr>
      <w:r>
        <w:rPr>
          <w:lang w:val="en"/>
        </w:rPr>
        <w:t xml:space="preserve">¶4</w:t>
      </w:r>
      <w:r>
        <w:rPr>
          <w:lang w:val="en"/>
        </w:rPr>
        <w:t xml:space="preserve"> </w:t>
      </w:r>
      <w:r>
        <w:rPr>
          <w:lang w:val="en"/>
        </w:rPr>
        <w:t xml:space="preserve">How reliable are sampling-based estimates of fish stocks or ecosystem condition?</w:t>
      </w:r>
    </w:p>
    <w:p>
      <w:pPr>
        <w:numPr>
          <w:ilvl w:val="0"/>
          <w:numId w:val="1007"/>
        </w:numPr>
        <w:pStyle w:val="Compact"/>
      </w:pPr>
      <w:r>
        <w:rPr>
          <w:lang w:val="en"/>
        </w:rPr>
        <w:t xml:space="preserve">¶5</w:t>
      </w:r>
      <w:r>
        <w:rPr>
          <w:lang w:val="en"/>
        </w:rPr>
        <w:t xml:space="preserve"> </w:t>
      </w:r>
      <w:r>
        <w:rPr>
          <w:lang w:val="en"/>
        </w:rPr>
        <w:t xml:space="preserve">What are the error margins for economic survey data?</w:t>
      </w:r>
    </w:p>
    <w:p>
      <w:pPr>
        <w:pStyle w:val="FirstParagraph"/>
      </w:pPr>
      <w:r>
        <w:rPr>
          <w:lang w:val="en"/>
        </w:rPr>
        <w:t xml:space="preserve">¶6</w:t>
      </w:r>
      <w:r>
        <w:rPr>
          <w:lang w:val="en"/>
        </w:rPr>
        <w:t xml:space="preserve"> </w:t>
      </w:r>
      <w:r>
        <w:rPr>
          <w:bCs/>
          <w:b/>
          <w:lang w:val="en"/>
        </w:rPr>
        <w:t xml:space="preserve">Example</w:t>
      </w:r>
      <w:r>
        <w:rPr>
          <w:lang w:val="en"/>
        </w:rPr>
        <w:t xml:space="preserve">: Fish stock assessments may have wide confidence intervals. Accounts should report those intervals alongside the point estimate.</w:t>
      </w:r>
    </w:p>
    <w:bookmarkStart w:id="57" w:name="Xf36858e5d0a85f715bd908f97fd3e38ca5f3342"/>
    <w:p>
      <w:pPr>
        <w:pStyle w:val="Heading4"/>
      </w:pPr>
      <w:r>
        <w:rPr>
          <w:lang w:val="en"/>
        </w:rPr>
        <w:t xml:space="preserve">3.2.4</w:t>
      </w:r>
      <w:r>
        <w:rPr>
          <w:lang w:val="en"/>
        </w:rPr>
        <w:t xml:space="preserve"> </w:t>
      </w:r>
      <w:r>
        <w:rPr>
          <w:lang w:val="en"/>
        </w:rPr>
        <w:t xml:space="preserve">Coherence</w:t>
      </w:r>
    </w:p>
    <w:p>
      <w:pPr>
        <w:pStyle w:val="FirstParagraph"/>
      </w:pPr>
      <w:hyperlink w:anchor="Xf36858e5d0a85f715bd908f97fd3e38ca5f3342">
        <w:r>
          <w:drawing>
            <wp:inline>
              <wp:extent cx="152400" cy="152400"/>
              <wp:effectExtent b="0" l="0" r="0" t="0"/>
              <wp:docPr descr="" title="" id="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“3.2.4 Coherence”</w:t>
        </w:r>
      </w:hyperlink>
    </w:p>
    <w:bookmarkEnd w:id="57"/>
    <w:p>
      <w:pPr>
        <w:pStyle w:val="BodyText"/>
      </w:pPr>
      <w:r>
        <w:rPr>
          <w:lang w:val="en"/>
        </w:rPr>
        <w:t xml:space="preserve">¶1</w:t>
      </w:r>
      <w:r>
        <w:rPr>
          <w:lang w:val="en"/>
        </w:rPr>
        <w:t xml:space="preserve"> </w:t>
      </w:r>
      <w:r>
        <w:rPr>
          <w:bCs/>
          <w:b/>
          <w:lang w:val="en"/>
        </w:rPr>
        <w:t xml:space="preserve">Definition</w:t>
      </w:r>
      <w:r>
        <w:rPr>
          <w:lang w:val="en"/>
        </w:rPr>
        <w:t xml:space="preserve">: The degree to which data from different sources or compiled using different methods can be reliably combined and compared.</w:t>
      </w:r>
    </w:p>
    <w:p>
      <w:pPr>
        <w:pStyle w:val="BodyText"/>
      </w:pPr>
      <w:r>
        <w:rPr>
          <w:lang w:val="en"/>
        </w:rPr>
        <w:t xml:space="preserve">¶2</w:t>
      </w:r>
      <w:r>
        <w:rPr>
          <w:lang w:val="en"/>
        </w:rPr>
        <w:t xml:space="preserve"> </w:t>
      </w:r>
      <w:r>
        <w:rPr>
          <w:bCs/>
          <w:b/>
          <w:lang w:val="en"/>
        </w:rPr>
        <w:t xml:space="preserve">Ocean accounts considerations</w:t>
      </w:r>
      <w:r>
        <w:rPr>
          <w:lang w:val="en"/>
        </w:rPr>
        <w:t xml:space="preserve">:</w:t>
      </w:r>
    </w:p>
    <w:p>
      <w:pPr>
        <w:numPr>
          <w:ilvl w:val="0"/>
          <w:numId w:val="1008"/>
        </w:numPr>
        <w:pStyle w:val="Compact"/>
      </w:pPr>
      <w:r>
        <w:rPr>
          <w:lang w:val="en"/>
        </w:rPr>
        <w:t xml:space="preserve">¶3</w:t>
      </w:r>
      <w:r>
        <w:rPr>
          <w:lang w:val="en"/>
        </w:rPr>
        <w:t xml:space="preserve"> </w:t>
      </w:r>
      <w:r>
        <w:rPr>
          <w:lang w:val="en"/>
        </w:rPr>
        <w:t xml:space="preserve">Are classifications consistently applied across data sources?</w:t>
      </w:r>
    </w:p>
    <w:p>
      <w:pPr>
        <w:numPr>
          <w:ilvl w:val="0"/>
          <w:numId w:val="1008"/>
        </w:numPr>
        <w:pStyle w:val="Compact"/>
      </w:pPr>
      <w:r>
        <w:rPr>
          <w:lang w:val="en"/>
        </w:rPr>
        <w:t xml:space="preserve">¶4</w:t>
      </w:r>
      <w:r>
        <w:rPr>
          <w:lang w:val="en"/>
        </w:rPr>
        <w:t xml:space="preserve"> </w:t>
      </w:r>
      <w:r>
        <w:rPr>
          <w:lang w:val="en"/>
        </w:rPr>
        <w:t xml:space="preserve">Are spatial boundaries aligned between environmental and economic data?</w:t>
      </w:r>
    </w:p>
    <w:p>
      <w:pPr>
        <w:numPr>
          <w:ilvl w:val="0"/>
          <w:numId w:val="1008"/>
        </w:numPr>
        <w:pStyle w:val="Compact"/>
      </w:pPr>
      <w:r>
        <w:rPr>
          <w:lang w:val="en"/>
        </w:rPr>
        <w:t xml:space="preserve">¶5</w:t>
      </w:r>
      <w:r>
        <w:rPr>
          <w:lang w:val="en"/>
        </w:rPr>
        <w:t xml:space="preserve"> </w:t>
      </w:r>
      <w:r>
        <w:rPr>
          <w:lang w:val="en"/>
        </w:rPr>
        <w:t xml:space="preserve">Are accounting periods synchronised?</w:t>
      </w:r>
    </w:p>
    <w:p>
      <w:pPr>
        <w:numPr>
          <w:ilvl w:val="0"/>
          <w:numId w:val="1008"/>
        </w:numPr>
        <w:pStyle w:val="Compact"/>
      </w:pPr>
      <w:r>
        <w:rPr>
          <w:lang w:val="en"/>
        </w:rPr>
        <w:t xml:space="preserve">¶6</w:t>
      </w:r>
      <w:r>
        <w:rPr>
          <w:lang w:val="en"/>
        </w:rPr>
        <w:t xml:space="preserve"> </w:t>
      </w:r>
      <w:r>
        <w:rPr>
          <w:lang w:val="en"/>
        </w:rPr>
        <w:t xml:space="preserve">Are changes in accounts over time attributable to genuine change rather than methodological or classification revisions? Breaks-in-series should be documented and, where feasible, back-casted (compilers should consult the relevant Section 3 accounts compilation circular for revisions practice specific to each account type).</w:t>
      </w:r>
    </w:p>
    <w:p>
      <w:pPr>
        <w:pStyle w:val="FirstParagraph"/>
      </w:pPr>
      <w:r>
        <w:rPr>
          <w:lang w:val="en"/>
        </w:rPr>
        <w:t xml:space="preserve">¶7</w:t>
      </w:r>
      <w:r>
        <w:rPr>
          <w:lang w:val="en"/>
        </w:rPr>
        <w:t xml:space="preserve"> </w:t>
      </w:r>
      <w:r>
        <w:rPr>
          <w:bCs/>
          <w:b/>
          <w:lang w:val="en"/>
        </w:rPr>
        <w:t xml:space="preserve">Example</w:t>
      </w:r>
      <w:r>
        <w:rPr>
          <w:lang w:val="en"/>
        </w:rPr>
        <w:t xml:space="preserve">: Economic data by industry may not align perfectly with spatially-defined ecosystem service flows, so bridging tables may be needed.</w:t>
      </w:r>
    </w:p>
    <w:bookmarkStart w:id="60" w:name="X4d582a9df177851e6ba3d9ad9afb6f69309636b"/>
    <w:p>
      <w:pPr>
        <w:pStyle w:val="Heading4"/>
      </w:pPr>
      <w:r>
        <w:rPr>
          <w:lang w:val="en"/>
        </w:rPr>
        <w:t xml:space="preserve">3.2.5</w:t>
      </w:r>
      <w:r>
        <w:rPr>
          <w:lang w:val="en"/>
        </w:rPr>
        <w:t xml:space="preserve"> </w:t>
      </w:r>
      <w:r>
        <w:rPr>
          <w:lang w:val="en"/>
        </w:rPr>
        <w:t xml:space="preserve">Interpretability</w:t>
      </w:r>
    </w:p>
    <w:p>
      <w:pPr>
        <w:pStyle w:val="FirstParagraph"/>
      </w:pPr>
      <w:hyperlink w:anchor="X4d582a9df177851e6ba3d9ad9afb6f69309636b">
        <w:r>
          <w:drawing>
            <wp:inline>
              <wp:extent cx="152400" cy="152400"/>
              <wp:effectExtent b="0" l="0" r="0" t="0"/>
              <wp:docPr descr="" title="" id="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“3.2.5 Interpretability”</w:t>
        </w:r>
      </w:hyperlink>
    </w:p>
    <w:bookmarkEnd w:id="60"/>
    <w:p>
      <w:pPr>
        <w:pStyle w:val="BodyText"/>
      </w:pPr>
      <w:r>
        <w:rPr>
          <w:lang w:val="en"/>
        </w:rPr>
        <w:t xml:space="preserve">¶1</w:t>
      </w:r>
      <w:r>
        <w:rPr>
          <w:lang w:val="en"/>
        </w:rPr>
        <w:t xml:space="preserve"> </w:t>
      </w:r>
      <w:r>
        <w:rPr>
          <w:bCs/>
          <w:b/>
          <w:lang w:val="en"/>
        </w:rPr>
        <w:t xml:space="preserve">Definition</w:t>
      </w:r>
      <w:r>
        <w:rPr>
          <w:lang w:val="en"/>
        </w:rPr>
        <w:t xml:space="preserve">: The availability of information to help users understand and properly use the data.</w:t>
      </w:r>
    </w:p>
    <w:p>
      <w:pPr>
        <w:pStyle w:val="BodyText"/>
      </w:pPr>
      <w:r>
        <w:rPr>
          <w:lang w:val="en"/>
        </w:rPr>
        <w:t xml:space="preserve">¶2</w:t>
      </w:r>
      <w:r>
        <w:rPr>
          <w:lang w:val="en"/>
        </w:rPr>
        <w:t xml:space="preserve"> </w:t>
      </w:r>
      <w:r>
        <w:rPr>
          <w:bCs/>
          <w:b/>
          <w:lang w:val="en"/>
        </w:rPr>
        <w:t xml:space="preserve">Ocean accounts considerations</w:t>
      </w:r>
      <w:r>
        <w:rPr>
          <w:lang w:val="en"/>
        </w:rPr>
        <w:t xml:space="preserve">:</w:t>
      </w:r>
    </w:p>
    <w:p>
      <w:pPr>
        <w:numPr>
          <w:ilvl w:val="0"/>
          <w:numId w:val="1009"/>
        </w:numPr>
        <w:pStyle w:val="Compact"/>
      </w:pPr>
      <w:r>
        <w:rPr>
          <w:lang w:val="en"/>
        </w:rPr>
        <w:t xml:space="preserve">¶3</w:t>
      </w:r>
      <w:r>
        <w:rPr>
          <w:lang w:val="en"/>
        </w:rPr>
        <w:t xml:space="preserve"> </w:t>
      </w:r>
      <w:r>
        <w:rPr>
          <w:lang w:val="en"/>
        </w:rPr>
        <w:t xml:space="preserve">Are methods and assumptions clearly documented?</w:t>
      </w:r>
    </w:p>
    <w:p>
      <w:pPr>
        <w:numPr>
          <w:ilvl w:val="0"/>
          <w:numId w:val="1009"/>
        </w:numPr>
        <w:pStyle w:val="Compact"/>
      </w:pPr>
      <w:r>
        <w:rPr>
          <w:lang w:val="en"/>
        </w:rPr>
        <w:t xml:space="preserve">¶4</w:t>
      </w:r>
      <w:r>
        <w:rPr>
          <w:lang w:val="en"/>
        </w:rPr>
        <w:t xml:space="preserve"> </w:t>
      </w:r>
      <w:r>
        <w:rPr>
          <w:lang w:val="en"/>
        </w:rPr>
        <w:t xml:space="preserve">Are metadata standards applied?</w:t>
      </w:r>
    </w:p>
    <w:p>
      <w:pPr>
        <w:numPr>
          <w:ilvl w:val="0"/>
          <w:numId w:val="1009"/>
        </w:numPr>
        <w:pStyle w:val="Compact"/>
      </w:pPr>
      <w:r>
        <w:rPr>
          <w:lang w:val="en"/>
        </w:rPr>
        <w:t xml:space="preserve">¶5</w:t>
      </w:r>
      <w:r>
        <w:rPr>
          <w:lang w:val="en"/>
        </w:rPr>
        <w:t xml:space="preserve"> </w:t>
      </w:r>
      <w:r>
        <w:rPr>
          <w:lang w:val="en"/>
        </w:rPr>
        <w:t xml:space="preserve">Are definitions consistent with international standards?</w:t>
      </w:r>
    </w:p>
    <w:p>
      <w:pPr>
        <w:pStyle w:val="FirstParagraph"/>
      </w:pPr>
      <w:r>
        <w:rPr>
          <w:lang w:val="en"/>
        </w:rPr>
        <w:t xml:space="preserve">¶6</w:t>
      </w:r>
      <w:r>
        <w:rPr>
          <w:lang w:val="en"/>
        </w:rPr>
        <w:t xml:space="preserve"> </w:t>
      </w:r>
      <w:r>
        <w:rPr>
          <w:bCs/>
          <w:b/>
          <w:lang w:val="en"/>
        </w:rPr>
        <w:t xml:space="preserve">Example</w:t>
      </w:r>
      <w:r>
        <w:rPr>
          <w:lang w:val="en"/>
        </w:rPr>
        <w:t xml:space="preserve">: Accounts should specify how services were measured and which ecosystem service classification is used, for example CICES V5.2 or the SEEA EA Reference List of Ecosystem Services (see SEEA EA Annex 6.1). For SEEA EA accounts, the SEEA EA Reference List is the primary classification, and CICES V5.2 may be used as a complementary mapping.</w:t>
      </w:r>
      <w:hyperlink w:anchor="user-content-fn-1">
        <w:r>
          <w:rPr>
            <w:rStyle w:val="Hyperlink"/>
            <w:vertAlign w:val="superscript"/>
            <w:lang w:val="en"/>
          </w:rPr>
          <w:t xml:space="preserve">1</w:t>
        </w:r>
      </w:hyperlink>
    </w:p>
    <w:bookmarkStart w:id="63" w:name="Xd4ccc6caaa32575d116e3f8181c4193aa68f36d"/>
    <w:p>
      <w:pPr>
        <w:pStyle w:val="Heading4"/>
      </w:pPr>
      <w:r>
        <w:rPr>
          <w:lang w:val="en"/>
        </w:rPr>
        <w:t xml:space="preserve">3.2.6</w:t>
      </w:r>
      <w:r>
        <w:rPr>
          <w:lang w:val="en"/>
        </w:rPr>
        <w:t xml:space="preserve"> </w:t>
      </w:r>
      <w:r>
        <w:rPr>
          <w:lang w:val="en"/>
        </w:rPr>
        <w:t xml:space="preserve">Accessibility</w:t>
      </w:r>
    </w:p>
    <w:p>
      <w:pPr>
        <w:pStyle w:val="FirstParagraph"/>
      </w:pPr>
      <w:hyperlink w:anchor="Xd4ccc6caaa32575d116e3f8181c4193aa68f36d">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“3.2.6 Accessibility”</w:t>
        </w:r>
      </w:hyperlink>
    </w:p>
    <w:bookmarkEnd w:id="63"/>
    <w:p>
      <w:pPr>
        <w:pStyle w:val="BodyText"/>
      </w:pPr>
      <w:r>
        <w:rPr>
          <w:lang w:val="en"/>
        </w:rPr>
        <w:t xml:space="preserve">¶1</w:t>
      </w:r>
      <w:r>
        <w:rPr>
          <w:lang w:val="en"/>
        </w:rPr>
        <w:t xml:space="preserve"> </w:t>
      </w:r>
      <w:r>
        <w:rPr>
          <w:bCs/>
          <w:b/>
          <w:lang w:val="en"/>
        </w:rPr>
        <w:t xml:space="preserve">Definition</w:t>
      </w:r>
      <w:r>
        <w:rPr>
          <w:lang w:val="en"/>
        </w:rPr>
        <w:t xml:space="preserve">: The ease with which users can access and use the data.</w:t>
      </w:r>
    </w:p>
    <w:p>
      <w:pPr>
        <w:pStyle w:val="BodyText"/>
      </w:pPr>
      <w:r>
        <w:rPr>
          <w:lang w:val="en"/>
        </w:rPr>
        <w:t xml:space="preserve">¶2</w:t>
      </w:r>
      <w:r>
        <w:rPr>
          <w:lang w:val="en"/>
        </w:rPr>
        <w:t xml:space="preserve"> </w:t>
      </w:r>
      <w:r>
        <w:rPr>
          <w:bCs/>
          <w:b/>
          <w:lang w:val="en"/>
        </w:rPr>
        <w:t xml:space="preserve">Ocean accounts considerations</w:t>
      </w:r>
      <w:r>
        <w:rPr>
          <w:lang w:val="en"/>
        </w:rPr>
        <w:t xml:space="preserve">:</w:t>
      </w:r>
    </w:p>
    <w:p>
      <w:pPr>
        <w:numPr>
          <w:ilvl w:val="0"/>
          <w:numId w:val="1010"/>
        </w:numPr>
        <w:pStyle w:val="Compact"/>
      </w:pPr>
      <w:r>
        <w:rPr>
          <w:lang w:val="en"/>
        </w:rPr>
        <w:t xml:space="preserve">¶3</w:t>
      </w:r>
      <w:r>
        <w:rPr>
          <w:lang w:val="en"/>
        </w:rPr>
        <w:t xml:space="preserve"> </w:t>
      </w:r>
      <w:r>
        <w:rPr>
          <w:lang w:val="en"/>
        </w:rPr>
        <w:t xml:space="preserve">Are accounts published in accessible formats?</w:t>
      </w:r>
    </w:p>
    <w:p>
      <w:pPr>
        <w:numPr>
          <w:ilvl w:val="0"/>
          <w:numId w:val="1010"/>
        </w:numPr>
        <w:pStyle w:val="Compact"/>
      </w:pPr>
      <w:r>
        <w:rPr>
          <w:lang w:val="en"/>
        </w:rPr>
        <w:t xml:space="preserve">¶4</w:t>
      </w:r>
      <w:r>
        <w:rPr>
          <w:lang w:val="en"/>
        </w:rPr>
        <w:t xml:space="preserve"> </w:t>
      </w:r>
      <w:r>
        <w:rPr>
          <w:lang w:val="en"/>
        </w:rPr>
        <w:t xml:space="preserve">Are underlying data available for users who need more detail?</w:t>
      </w:r>
    </w:p>
    <w:p>
      <w:pPr>
        <w:numPr>
          <w:ilvl w:val="0"/>
          <w:numId w:val="1010"/>
        </w:numPr>
        <w:pStyle w:val="Compact"/>
      </w:pPr>
      <w:r>
        <w:rPr>
          <w:lang w:val="en"/>
        </w:rPr>
        <w:t xml:space="preserve">¶5</w:t>
      </w:r>
      <w:r>
        <w:rPr>
          <w:lang w:val="en"/>
        </w:rPr>
        <w:t xml:space="preserve"> </w:t>
      </w:r>
      <w:r>
        <w:rPr>
          <w:lang w:val="en"/>
        </w:rPr>
        <w:t xml:space="preserve">Are there access restrictions (e.g., for confidential business data)?</w:t>
      </w:r>
    </w:p>
    <w:p>
      <w:pPr>
        <w:pStyle w:val="FirstParagraph"/>
      </w:pPr>
      <w:r>
        <w:rPr>
          <w:lang w:val="en"/>
        </w:rPr>
        <w:t xml:space="preserve">¶6</w:t>
      </w:r>
      <w:r>
        <w:rPr>
          <w:lang w:val="en"/>
        </w:rPr>
        <w:t xml:space="preserve"> </w:t>
      </w:r>
      <w:r>
        <w:rPr>
          <w:bCs/>
          <w:b/>
          <w:lang w:val="en"/>
        </w:rPr>
        <w:t xml:space="preserve">Example</w:t>
      </w:r>
      <w:r>
        <w:rPr>
          <w:lang w:val="en"/>
        </w:rPr>
        <w:t xml:space="preserve">: Accounts may be published in summary form with detailed underlying data available on request or through data portals.</w:t>
      </w:r>
    </w:p>
    <w:bookmarkStart w:id="66" w:name="Xc5ae6699e27c16678c3a9d0ad639d8d310d2ccc"/>
    <w:p>
      <w:pPr>
        <w:pStyle w:val="Heading3"/>
      </w:pPr>
      <w:r>
        <w:rPr>
          <w:lang w:val="en"/>
        </w:rPr>
        <w:t xml:space="preserve">3.3</w:t>
      </w:r>
      <w:r>
        <w:rPr>
          <w:lang w:val="en"/>
        </w:rPr>
        <w:t xml:space="preserve"> </w:t>
      </w:r>
      <w:r>
        <w:rPr>
          <w:lang w:val="en"/>
        </w:rPr>
        <w:t xml:space="preserve">Institutional Environment</w:t>
      </w:r>
    </w:p>
    <w:p>
      <w:pPr>
        <w:pStyle w:val="FirstParagraph"/>
      </w:pPr>
      <w:hyperlink w:anchor="Xc5ae6699e27c16678c3a9d0ad639d8d310d2ccc">
        <w:r>
          <w:drawing>
            <wp:inline>
              <wp:extent cx="152400" cy="152400"/>
              <wp:effectExtent b="0" l="0" r="0" t="0"/>
              <wp:docPr descr="" title="" id="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Institutional Environment”</w:t>
        </w:r>
      </w:hyperlink>
    </w:p>
    <w:bookmarkEnd w:id="66"/>
    <w:p>
      <w:pPr>
        <w:pStyle w:val="BodyText"/>
      </w:pPr>
      <w:r>
        <w:rPr>
          <w:lang w:val="en"/>
        </w:rPr>
        <w:t xml:space="preserve">¶1</w:t>
      </w:r>
      <w:r>
        <w:rPr>
          <w:lang w:val="en"/>
        </w:rPr>
        <w:t xml:space="preserve"> </w:t>
      </w:r>
      <w:r>
        <w:rPr>
          <w:lang w:val="en"/>
        </w:rPr>
        <w:t xml:space="preserve">Beyond the six dimensions of data quality, the SEEA EA emphasises the quality of the institutional environment in which data are compiled (para. 2.86), consistent with the UN Fundamental Principles of Official Statistics (Resolution 2013/21):</w:t>
      </w:r>
    </w:p>
    <w:p>
      <w:pPr>
        <w:numPr>
          <w:ilvl w:val="0"/>
          <w:numId w:val="1011"/>
        </w:numPr>
        <w:pStyle w:val="Compact"/>
      </w:pPr>
      <w:r>
        <w:rPr>
          <w:lang w:val="en"/>
        </w:rPr>
        <w:t xml:space="preserve">¶2</w:t>
      </w:r>
      <w:r>
        <w:rPr>
          <w:lang w:val="en"/>
        </w:rPr>
        <w:t xml:space="preserve"> </w:t>
      </w:r>
      <w:r>
        <w:rPr>
          <w:bCs/>
          <w:b/>
          <w:lang w:val="en"/>
        </w:rPr>
        <w:t xml:space="preserve">Independence</w:t>
      </w:r>
      <w:r>
        <w:rPr>
          <w:lang w:val="en"/>
        </w:rPr>
        <w:t xml:space="preserve">: Statistical compilation free from political interference</w:t>
      </w:r>
    </w:p>
    <w:p>
      <w:pPr>
        <w:numPr>
          <w:ilvl w:val="0"/>
          <w:numId w:val="1011"/>
        </w:numPr>
        <w:pStyle w:val="Compact"/>
      </w:pPr>
      <w:r>
        <w:rPr>
          <w:lang w:val="en"/>
        </w:rPr>
        <w:t xml:space="preserve">¶3</w:t>
      </w:r>
      <w:r>
        <w:rPr>
          <w:lang w:val="en"/>
        </w:rPr>
        <w:t xml:space="preserve"> </w:t>
      </w:r>
      <w:r>
        <w:rPr>
          <w:bCs/>
          <w:b/>
          <w:lang w:val="en"/>
        </w:rPr>
        <w:t xml:space="preserve">Mandate</w:t>
      </w:r>
      <w:r>
        <w:rPr>
          <w:lang w:val="en"/>
        </w:rPr>
        <w:t xml:space="preserve">: Clear legal or institutional authority for accounts production</w:t>
      </w:r>
    </w:p>
    <w:p>
      <w:pPr>
        <w:numPr>
          <w:ilvl w:val="0"/>
          <w:numId w:val="1011"/>
        </w:numPr>
        <w:pStyle w:val="Compact"/>
      </w:pPr>
      <w:r>
        <w:rPr>
          <w:lang w:val="en"/>
        </w:rPr>
        <w:t xml:space="preserve">¶4</w:t>
      </w:r>
      <w:r>
        <w:rPr>
          <w:lang w:val="en"/>
        </w:rPr>
        <w:t xml:space="preserve"> </w:t>
      </w:r>
      <w:r>
        <w:rPr>
          <w:bCs/>
          <w:b/>
          <w:lang w:val="en"/>
        </w:rPr>
        <w:t xml:space="preserve">Resources</w:t>
      </w:r>
      <w:r>
        <w:rPr>
          <w:lang w:val="en"/>
        </w:rPr>
        <w:t xml:space="preserve">: Adequate funding and staffing</w:t>
      </w:r>
    </w:p>
    <w:p>
      <w:pPr>
        <w:numPr>
          <w:ilvl w:val="0"/>
          <w:numId w:val="1011"/>
        </w:numPr>
        <w:pStyle w:val="Compact"/>
      </w:pPr>
      <w:r>
        <w:rPr>
          <w:lang w:val="en"/>
        </w:rPr>
        <w:t xml:space="preserve">¶5</w:t>
      </w:r>
      <w:r>
        <w:rPr>
          <w:lang w:val="en"/>
        </w:rPr>
        <w:t xml:space="preserve"> </w:t>
      </w:r>
      <w:r>
        <w:rPr>
          <w:bCs/>
          <w:b/>
          <w:lang w:val="en"/>
        </w:rPr>
        <w:t xml:space="preserve">Coordination</w:t>
      </w:r>
      <w:r>
        <w:rPr>
          <w:lang w:val="en"/>
        </w:rPr>
        <w:t xml:space="preserve">: Effective arrangements between data-producing agencies</w:t>
      </w:r>
    </w:p>
    <w:p>
      <w:pPr>
        <w:numPr>
          <w:ilvl w:val="0"/>
          <w:numId w:val="1011"/>
        </w:numPr>
        <w:pStyle w:val="Compact"/>
      </w:pPr>
      <w:r>
        <w:rPr>
          <w:lang w:val="en"/>
        </w:rPr>
        <w:t xml:space="preserve">¶6</w:t>
      </w:r>
      <w:r>
        <w:rPr>
          <w:lang w:val="en"/>
        </w:rPr>
        <w:t xml:space="preserve"> </w:t>
      </w:r>
      <w:r>
        <w:rPr>
          <w:bCs/>
          <w:b/>
          <w:lang w:val="en"/>
        </w:rPr>
        <w:t xml:space="preserve">Standards</w:t>
      </w:r>
      <w:r>
        <w:rPr>
          <w:lang w:val="en"/>
        </w:rPr>
        <w:t xml:space="preserve">: Adherence to international statistical standards and principles</w:t>
      </w:r>
    </w:p>
    <w:bookmarkStart w:id="69" w:name="Xc39d8936ef1a730cf7af27c053338ab8db92793"/>
    <w:p>
      <w:pPr>
        <w:pStyle w:val="Heading3"/>
      </w:pPr>
      <w:r>
        <w:rPr>
          <w:lang w:val="en"/>
        </w:rPr>
        <w:t xml:space="preserve">3.4</w:t>
      </w:r>
      <w:r>
        <w:rPr>
          <w:lang w:val="en"/>
        </w:rPr>
        <w:t xml:space="preserve"> </w:t>
      </w:r>
      <w:r>
        <w:rPr>
          <w:lang w:val="en"/>
        </w:rPr>
        <w:t xml:space="preserve">Four Categories of Uncertainty</w:t>
      </w:r>
    </w:p>
    <w:p>
      <w:pPr>
        <w:pStyle w:val="FirstParagraph"/>
      </w:pPr>
      <w:hyperlink w:anchor="Xc39d8936ef1a730cf7af27c053338ab8db92793">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Four Categories of Uncertainty”</w:t>
        </w:r>
      </w:hyperlink>
    </w:p>
    <w:bookmarkEnd w:id="69"/>
    <w:p>
      <w:pPr>
        <w:pStyle w:val="BodyText"/>
      </w:pPr>
      <w:r>
        <w:rPr>
          <w:lang w:val="en"/>
        </w:rPr>
        <w:t xml:space="preserve">¶1</w:t>
      </w:r>
      <w:r>
        <w:rPr>
          <w:lang w:val="en"/>
        </w:rPr>
        <w:t xml:space="preserve"> </w:t>
      </w:r>
      <w:r>
        <w:rPr>
          <w:lang w:val="en"/>
        </w:rPr>
        <w:t xml:space="preserve">The SEEA EA identifies four categories of uncertainty particularly pertinent to ecosystem accounting (paras. 2.90—2.94).</w:t>
      </w:r>
      <w:hyperlink w:anchor="user-content-fn-2">
        <w:r>
          <w:rPr>
            <w:rStyle w:val="Hyperlink"/>
            <w:vertAlign w:val="superscript"/>
            <w:lang w:val="en"/>
          </w:rPr>
          <w:t xml:space="preserve">2</w:t>
        </w:r>
      </w:hyperlink>
      <w:r>
        <w:rPr>
          <w:lang w:val="en"/>
        </w:rPr>
        <w:t xml:space="preserve"> </w:t>
      </w:r>
      <w:r>
        <w:rPr>
          <w:lang w:val="en"/>
        </w:rPr>
        <w:t xml:space="preserve">All apply directly to ocean accounts:</w:t>
      </w:r>
    </w:p>
    <w:bookmarkStart w:id="72" w:name="X0a27e53b4a94bb5e4c8ef770c7aa2374cf7b251"/>
    <w:p>
      <w:pPr>
        <w:pStyle w:val="Heading4"/>
      </w:pPr>
      <w:r>
        <w:rPr>
          <w:lang w:val="en"/>
        </w:rPr>
        <w:t xml:space="preserve">3.4.1</w:t>
      </w:r>
      <w:r>
        <w:rPr>
          <w:lang w:val="en"/>
        </w:rPr>
        <w:t xml:space="preserve"> </w:t>
      </w:r>
      <w:r>
        <w:rPr>
          <w:lang w:val="en"/>
        </w:rPr>
        <w:t xml:space="preserve">Physical Measurement Uncertainty</w:t>
      </w:r>
    </w:p>
    <w:p>
      <w:pPr>
        <w:pStyle w:val="FirstParagraph"/>
      </w:pPr>
      <w:hyperlink w:anchor="X0a27e53b4a94bb5e4c8ef770c7aa2374cf7b251">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Physical Measurement Uncertainty”</w:t>
        </w:r>
      </w:hyperlink>
    </w:p>
    <w:bookmarkEnd w:id="72"/>
    <w:p>
      <w:pPr>
        <w:pStyle w:val="BodyText"/>
      </w:pPr>
      <w:r>
        <w:rPr>
          <w:lang w:val="en"/>
        </w:rPr>
        <w:t xml:space="preserve">¶1</w:t>
      </w:r>
      <w:r>
        <w:rPr>
          <w:lang w:val="en"/>
        </w:rPr>
        <w:t xml:space="preserve"> </w:t>
      </w:r>
      <w:r>
        <w:rPr>
          <w:lang w:val="en"/>
        </w:rPr>
        <w:t xml:space="preserve">Uncertainty related to the physical measurement of ecosystem services and ecosystem assets.</w:t>
      </w:r>
    </w:p>
    <w:p>
      <w:pPr>
        <w:pStyle w:val="BodyText"/>
      </w:pPr>
      <w:r>
        <w:rPr>
          <w:lang w:val="en"/>
        </w:rPr>
        <w:t xml:space="preserve">¶2</w:t>
      </w:r>
      <w:r>
        <w:rPr>
          <w:lang w:val="en"/>
        </w:rPr>
        <w:t xml:space="preserve"> </w:t>
      </w:r>
      <w:r>
        <w:rPr>
          <w:bCs/>
          <w:b/>
          <w:lang w:val="en"/>
        </w:rPr>
        <w:t xml:space="preserve">Sources in ocean accounts</w:t>
      </w:r>
      <w:r>
        <w:rPr>
          <w:lang w:val="en"/>
        </w:rPr>
        <w:t xml:space="preserve">:</w:t>
      </w:r>
    </w:p>
    <w:p>
      <w:pPr>
        <w:numPr>
          <w:ilvl w:val="0"/>
          <w:numId w:val="1012"/>
        </w:numPr>
        <w:pStyle w:val="Compact"/>
      </w:pPr>
      <w:r>
        <w:rPr>
          <w:lang w:val="en"/>
        </w:rPr>
        <w:t xml:space="preserve">¶3</w:t>
      </w:r>
      <w:r>
        <w:rPr>
          <w:lang w:val="en"/>
        </w:rPr>
        <w:t xml:space="preserve"> </w:t>
      </w:r>
      <w:r>
        <w:rPr>
          <w:lang w:val="en"/>
        </w:rPr>
        <w:t xml:space="preserve">Sampling variability in fish stock surveys</w:t>
      </w:r>
    </w:p>
    <w:p>
      <w:pPr>
        <w:numPr>
          <w:ilvl w:val="0"/>
          <w:numId w:val="1012"/>
        </w:numPr>
        <w:pStyle w:val="Compact"/>
      </w:pPr>
      <w:r>
        <w:rPr>
          <w:lang w:val="en"/>
        </w:rPr>
        <w:t xml:space="preserve">¶4</w:t>
      </w:r>
      <w:r>
        <w:rPr>
          <w:lang w:val="en"/>
        </w:rPr>
        <w:t xml:space="preserve"> </w:t>
      </w:r>
      <w:r>
        <w:rPr>
          <w:lang w:val="en"/>
        </w:rPr>
        <w:t xml:space="preserve">Remote sensing classification errors</w:t>
      </w:r>
    </w:p>
    <w:p>
      <w:pPr>
        <w:numPr>
          <w:ilvl w:val="0"/>
          <w:numId w:val="1012"/>
        </w:numPr>
        <w:pStyle w:val="Compact"/>
      </w:pPr>
      <w:r>
        <w:rPr>
          <w:lang w:val="en"/>
        </w:rPr>
        <w:t xml:space="preserve">¶5</w:t>
      </w:r>
      <w:r>
        <w:rPr>
          <w:lang w:val="en"/>
        </w:rPr>
        <w:t xml:space="preserve"> </w:t>
      </w:r>
      <w:r>
        <w:rPr>
          <w:lang w:val="en"/>
        </w:rPr>
        <w:t xml:space="preserve">Spatial interpolation between monitoring stations</w:t>
      </w:r>
    </w:p>
    <w:p>
      <w:pPr>
        <w:numPr>
          <w:ilvl w:val="0"/>
          <w:numId w:val="1012"/>
        </w:numPr>
        <w:pStyle w:val="Compact"/>
      </w:pPr>
      <w:r>
        <w:rPr>
          <w:lang w:val="en"/>
        </w:rPr>
        <w:t xml:space="preserve">¶6</w:t>
      </w:r>
      <w:r>
        <w:rPr>
          <w:lang w:val="en"/>
        </w:rPr>
        <w:t xml:space="preserve"> </w:t>
      </w:r>
      <w:r>
        <w:rPr>
          <w:lang w:val="en"/>
        </w:rPr>
        <w:t xml:space="preserve">Temporal variability between observations</w:t>
      </w:r>
    </w:p>
    <w:p>
      <w:pPr>
        <w:pStyle w:val="FirstParagraph"/>
      </w:pPr>
      <w:r>
        <w:rPr>
          <w:lang w:val="en"/>
        </w:rPr>
        <w:t xml:space="preserve">¶7</w:t>
      </w:r>
      <w:r>
        <w:rPr>
          <w:lang w:val="en"/>
        </w:rPr>
        <w:t xml:space="preserve"> </w:t>
      </w:r>
      <w:r>
        <w:rPr>
          <w:bCs/>
          <w:b/>
          <w:lang w:val="en"/>
        </w:rPr>
        <w:t xml:space="preserve">Approaches to address</w:t>
      </w:r>
      <w:r>
        <w:rPr>
          <w:lang w:val="en"/>
        </w:rPr>
        <w:t xml:space="preserve">:</w:t>
      </w:r>
    </w:p>
    <w:p>
      <w:pPr>
        <w:numPr>
          <w:ilvl w:val="0"/>
          <w:numId w:val="1013"/>
        </w:numPr>
        <w:pStyle w:val="Compact"/>
      </w:pPr>
      <w:r>
        <w:rPr>
          <w:lang w:val="en"/>
        </w:rPr>
        <w:t xml:space="preserve">¶8</w:t>
      </w:r>
      <w:r>
        <w:rPr>
          <w:lang w:val="en"/>
        </w:rPr>
        <w:t xml:space="preserve"> </w:t>
      </w:r>
      <w:r>
        <w:rPr>
          <w:lang w:val="en"/>
        </w:rPr>
        <w:t xml:space="preserve">Report confidence intervals where available</w:t>
      </w:r>
    </w:p>
    <w:p>
      <w:pPr>
        <w:numPr>
          <w:ilvl w:val="0"/>
          <w:numId w:val="1013"/>
        </w:numPr>
        <w:pStyle w:val="Compact"/>
      </w:pPr>
      <w:r>
        <w:rPr>
          <w:lang w:val="en"/>
        </w:rPr>
        <w:t xml:space="preserve">¶9</w:t>
      </w:r>
      <w:r>
        <w:rPr>
          <w:lang w:val="en"/>
        </w:rPr>
        <w:t xml:space="preserve"> </w:t>
      </w:r>
      <w:r>
        <w:rPr>
          <w:lang w:val="en"/>
        </w:rPr>
        <w:t xml:space="preserve">Document sampling design and coverage</w:t>
      </w:r>
    </w:p>
    <w:p>
      <w:pPr>
        <w:numPr>
          <w:ilvl w:val="0"/>
          <w:numId w:val="1013"/>
        </w:numPr>
        <w:pStyle w:val="Compact"/>
      </w:pPr>
      <w:r>
        <w:rPr>
          <w:lang w:val="en"/>
        </w:rPr>
        <w:t xml:space="preserve">¶10</w:t>
      </w:r>
      <w:r>
        <w:rPr>
          <w:lang w:val="en"/>
        </w:rPr>
        <w:t xml:space="preserve"> </w:t>
      </w:r>
      <w:r>
        <w:rPr>
          <w:lang w:val="en"/>
        </w:rPr>
        <w:t xml:space="preserve">Use ensemble methods or multiple data sources</w:t>
      </w:r>
    </w:p>
    <w:p>
      <w:pPr>
        <w:numPr>
          <w:ilvl w:val="0"/>
          <w:numId w:val="1013"/>
        </w:numPr>
        <w:pStyle w:val="Compact"/>
      </w:pPr>
      <w:r>
        <w:rPr>
          <w:lang w:val="en"/>
        </w:rPr>
        <w:t xml:space="preserve">¶11</w:t>
      </w:r>
      <w:r>
        <w:rPr>
          <w:lang w:val="en"/>
        </w:rPr>
        <w:t xml:space="preserve"> </w:t>
      </w:r>
      <w:r>
        <w:rPr>
          <w:lang w:val="en"/>
        </w:rPr>
        <w:t xml:space="preserve">Distinguish between measurement precision and accuracy</w:t>
      </w:r>
    </w:p>
    <w:bookmarkStart w:id="75" w:name="X24818ba3b6b9c6a4e789a6f12237ecbefe986ca"/>
    <w:p>
      <w:pPr>
        <w:pStyle w:val="Heading4"/>
      </w:pPr>
      <w:r>
        <w:rPr>
          <w:lang w:val="en"/>
        </w:rPr>
        <w:t xml:space="preserve">3.4.2</w:t>
      </w:r>
      <w:r>
        <w:rPr>
          <w:lang w:val="en"/>
        </w:rPr>
        <w:t xml:space="preserve"> </w:t>
      </w:r>
      <w:r>
        <w:rPr>
          <w:lang w:val="en"/>
        </w:rPr>
        <w:t xml:space="preserve">Valuation Uncertainty</w:t>
      </w:r>
    </w:p>
    <w:p>
      <w:pPr>
        <w:pStyle w:val="FirstParagraph"/>
      </w:pPr>
      <w:hyperlink w:anchor="X24818ba3b6b9c6a4e789a6f12237ecbefe986ca">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Valuation Uncertainty”</w:t>
        </w:r>
      </w:hyperlink>
    </w:p>
    <w:bookmarkEnd w:id="75"/>
    <w:p>
      <w:pPr>
        <w:pStyle w:val="BodyText"/>
      </w:pPr>
      <w:r>
        <w:rPr>
          <w:lang w:val="en"/>
        </w:rPr>
        <w:t xml:space="preserve">¶1</w:t>
      </w:r>
      <w:r>
        <w:rPr>
          <w:lang w:val="en"/>
        </w:rPr>
        <w:t xml:space="preserve"> </w:t>
      </w:r>
      <w:r>
        <w:rPr>
          <w:lang w:val="en"/>
        </w:rPr>
        <w:t xml:space="preserve">Uncertainty in the valuation of ecosystem services and ecosystem assets.</w:t>
      </w:r>
    </w:p>
    <w:p>
      <w:pPr>
        <w:pStyle w:val="BodyText"/>
      </w:pPr>
      <w:r>
        <w:rPr>
          <w:lang w:val="en"/>
        </w:rPr>
        <w:t xml:space="preserve">¶2</w:t>
      </w:r>
      <w:r>
        <w:rPr>
          <w:lang w:val="en"/>
        </w:rPr>
        <w:t xml:space="preserve"> </w:t>
      </w:r>
      <w:r>
        <w:rPr>
          <w:bCs/>
          <w:b/>
          <w:lang w:val="en"/>
        </w:rPr>
        <w:t xml:space="preserve">Sources in ocean accounts</w:t>
      </w:r>
      <w:r>
        <w:rPr>
          <w:lang w:val="en"/>
        </w:rPr>
        <w:t xml:space="preserve">:</w:t>
      </w:r>
    </w:p>
    <w:p>
      <w:pPr>
        <w:numPr>
          <w:ilvl w:val="0"/>
          <w:numId w:val="1014"/>
        </w:numPr>
        <w:pStyle w:val="Compact"/>
      </w:pPr>
      <w:r>
        <w:rPr>
          <w:lang w:val="en"/>
        </w:rPr>
        <w:t xml:space="preserve">¶3</w:t>
      </w:r>
      <w:r>
        <w:rPr>
          <w:lang w:val="en"/>
        </w:rPr>
        <w:t xml:space="preserve"> </w:t>
      </w:r>
      <w:r>
        <w:rPr>
          <w:lang w:val="en"/>
        </w:rPr>
        <w:t xml:space="preserve">Choice of valuation method (market prices, replacement cost, stated preference)</w:t>
      </w:r>
    </w:p>
    <w:p>
      <w:pPr>
        <w:numPr>
          <w:ilvl w:val="0"/>
          <w:numId w:val="1014"/>
        </w:numPr>
        <w:pStyle w:val="Compact"/>
      </w:pPr>
      <w:r>
        <w:rPr>
          <w:lang w:val="en"/>
        </w:rPr>
        <w:t xml:space="preserve">¶4</w:t>
      </w:r>
      <w:r>
        <w:rPr>
          <w:lang w:val="en"/>
        </w:rPr>
        <w:t xml:space="preserve"> </w:t>
      </w:r>
      <w:r>
        <w:rPr>
          <w:lang w:val="en"/>
        </w:rPr>
        <w:t xml:space="preserve">Benefit transfer from other contexts</w:t>
      </w:r>
    </w:p>
    <w:p>
      <w:pPr>
        <w:numPr>
          <w:ilvl w:val="0"/>
          <w:numId w:val="1014"/>
        </w:numPr>
        <w:pStyle w:val="Compact"/>
      </w:pPr>
      <w:r>
        <w:rPr>
          <w:lang w:val="en"/>
        </w:rPr>
        <w:t xml:space="preserve">¶5</w:t>
      </w:r>
      <w:r>
        <w:rPr>
          <w:lang w:val="en"/>
        </w:rPr>
        <w:t xml:space="preserve"> </w:t>
      </w:r>
      <w:r>
        <w:rPr>
          <w:lang w:val="en"/>
        </w:rPr>
        <w:t xml:space="preserve">Discount rate selection for asset values</w:t>
      </w:r>
    </w:p>
    <w:p>
      <w:pPr>
        <w:numPr>
          <w:ilvl w:val="0"/>
          <w:numId w:val="1014"/>
        </w:numPr>
        <w:pStyle w:val="Compact"/>
      </w:pPr>
      <w:r>
        <w:rPr>
          <w:lang w:val="en"/>
        </w:rPr>
        <w:t xml:space="preserve">¶6</w:t>
      </w:r>
      <w:r>
        <w:rPr>
          <w:lang w:val="en"/>
        </w:rPr>
        <w:t xml:space="preserve"> </w:t>
      </w:r>
      <w:r>
        <w:rPr>
          <w:lang w:val="en"/>
        </w:rPr>
        <w:t xml:space="preserve">Treatment of non-marginal changes</w:t>
      </w:r>
    </w:p>
    <w:p>
      <w:pPr>
        <w:pStyle w:val="FirstParagraph"/>
      </w:pPr>
      <w:r>
        <w:rPr>
          <w:lang w:val="en"/>
        </w:rPr>
        <w:t xml:space="preserve">¶7</w:t>
      </w:r>
      <w:r>
        <w:rPr>
          <w:lang w:val="en"/>
        </w:rPr>
        <w:t xml:space="preserve"> </w:t>
      </w:r>
      <w:r>
        <w:rPr>
          <w:lang w:val="en"/>
        </w:rPr>
        <w:t xml:space="preserve">Benefit transfer introduces additional uncertainty where the study site and policy context differ substantially from the transfer site, so applicability conditions should be assessed and documented (see Section 3.5.4 Assumptions Made, and SEEA EA paras. 5.38—5.41).</w:t>
      </w:r>
    </w:p>
    <w:p>
      <w:pPr>
        <w:pStyle w:val="BodyText"/>
      </w:pPr>
      <w:r>
        <w:rPr>
          <w:lang w:val="en"/>
        </w:rPr>
        <w:t xml:space="preserve">¶8</w:t>
      </w:r>
      <w:r>
        <w:rPr>
          <w:lang w:val="en"/>
        </w:rPr>
        <w:t xml:space="preserve"> </w:t>
      </w:r>
      <w:r>
        <w:rPr>
          <w:bCs/>
          <w:b/>
          <w:lang w:val="en"/>
        </w:rPr>
        <w:t xml:space="preserve">Approaches to address</w:t>
      </w:r>
      <w:r>
        <w:rPr>
          <w:lang w:val="en"/>
        </w:rPr>
        <w:t xml:space="preserve">:</w:t>
      </w:r>
    </w:p>
    <w:p>
      <w:pPr>
        <w:numPr>
          <w:ilvl w:val="0"/>
          <w:numId w:val="1015"/>
        </w:numPr>
        <w:pStyle w:val="Compact"/>
      </w:pPr>
      <w:r>
        <w:rPr>
          <w:lang w:val="en"/>
        </w:rPr>
        <w:t xml:space="preserve">¶9</w:t>
      </w:r>
      <w:r>
        <w:rPr>
          <w:lang w:val="en"/>
        </w:rPr>
        <w:t xml:space="preserve"> </w:t>
      </w:r>
      <w:r>
        <w:rPr>
          <w:lang w:val="en"/>
        </w:rPr>
        <w:t xml:space="preserve">Report physical accounts alongside monetary values</w:t>
      </w:r>
    </w:p>
    <w:p>
      <w:pPr>
        <w:numPr>
          <w:ilvl w:val="0"/>
          <w:numId w:val="1015"/>
        </w:numPr>
        <w:pStyle w:val="Compact"/>
      </w:pPr>
      <w:r>
        <w:rPr>
          <w:lang w:val="en"/>
        </w:rPr>
        <w:t xml:space="preserve">¶10</w:t>
      </w:r>
      <w:r>
        <w:rPr>
          <w:lang w:val="en"/>
        </w:rPr>
        <w:t xml:space="preserve"> </w:t>
      </w:r>
      <w:r>
        <w:rPr>
          <w:lang w:val="en"/>
        </w:rPr>
        <w:t xml:space="preserve">Use sensitivity analysis for key assumptions</w:t>
      </w:r>
    </w:p>
    <w:p>
      <w:pPr>
        <w:numPr>
          <w:ilvl w:val="0"/>
          <w:numId w:val="1015"/>
        </w:numPr>
        <w:pStyle w:val="Compact"/>
      </w:pPr>
      <w:r>
        <w:rPr>
          <w:lang w:val="en"/>
        </w:rPr>
        <w:t xml:space="preserve">¶11</w:t>
      </w:r>
      <w:r>
        <w:rPr>
          <w:lang w:val="en"/>
        </w:rPr>
        <w:t xml:space="preserve"> </w:t>
      </w:r>
      <w:r>
        <w:rPr>
          <w:lang w:val="en"/>
        </w:rPr>
        <w:t xml:space="preserve">Document valuation method selection rationale</w:t>
      </w:r>
    </w:p>
    <w:p>
      <w:pPr>
        <w:numPr>
          <w:ilvl w:val="0"/>
          <w:numId w:val="1015"/>
        </w:numPr>
        <w:pStyle w:val="Compact"/>
      </w:pPr>
      <w:r>
        <w:rPr>
          <w:lang w:val="en"/>
        </w:rPr>
        <w:t xml:space="preserve">¶12</w:t>
      </w:r>
      <w:r>
        <w:rPr>
          <w:lang w:val="en"/>
        </w:rPr>
        <w:t xml:space="preserve"> </w:t>
      </w:r>
      <w:r>
        <w:rPr>
          <w:lang w:val="en"/>
        </w:rPr>
        <w:t xml:space="preserve">Present ranges rather than point estimates for contested values</w:t>
      </w:r>
    </w:p>
    <w:bookmarkStart w:id="78" w:name="X4507f394baff2e5377099cb718292bb5b0c6f40"/>
    <w:p>
      <w:pPr>
        <w:pStyle w:val="Heading4"/>
      </w:pPr>
      <w:r>
        <w:rPr>
          <w:lang w:val="en"/>
        </w:rPr>
        <w:t xml:space="preserve">3.4.3</w:t>
      </w:r>
      <w:r>
        <w:rPr>
          <w:lang w:val="en"/>
        </w:rPr>
        <w:t xml:space="preserve"> </w:t>
      </w:r>
      <w:r>
        <w:rPr>
          <w:lang w:val="en"/>
        </w:rPr>
        <w:t xml:space="preserve">Ecosystem Dynamics Uncertainty</w:t>
      </w:r>
    </w:p>
    <w:p>
      <w:pPr>
        <w:pStyle w:val="FirstParagraph"/>
      </w:pPr>
      <w:hyperlink w:anchor="X4507f394baff2e5377099cb718292bb5b0c6f40">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Ecosystem Dynamics Uncertainty”</w:t>
        </w:r>
      </w:hyperlink>
    </w:p>
    <w:bookmarkEnd w:id="78"/>
    <w:p>
      <w:pPr>
        <w:pStyle w:val="BodyText"/>
      </w:pPr>
      <w:r>
        <w:rPr>
          <w:lang w:val="en"/>
        </w:rPr>
        <w:t xml:space="preserve">¶1</w:t>
      </w:r>
      <w:r>
        <w:rPr>
          <w:lang w:val="en"/>
        </w:rPr>
        <w:t xml:space="preserve"> </w:t>
      </w:r>
      <w:r>
        <w:rPr>
          <w:lang w:val="en"/>
        </w:rPr>
        <w:t xml:space="preserve">Uncertainty related to the dynamics of ecosystems and changes in flows.</w:t>
      </w:r>
    </w:p>
    <w:p>
      <w:pPr>
        <w:pStyle w:val="BodyText"/>
      </w:pPr>
      <w:r>
        <w:rPr>
          <w:lang w:val="en"/>
        </w:rPr>
        <w:t xml:space="preserve">¶2</w:t>
      </w:r>
      <w:r>
        <w:rPr>
          <w:lang w:val="en"/>
        </w:rPr>
        <w:t xml:space="preserve"> </w:t>
      </w:r>
      <w:r>
        <w:rPr>
          <w:bCs/>
          <w:b/>
          <w:lang w:val="en"/>
        </w:rPr>
        <w:t xml:space="preserve">Sources in ocean accounts</w:t>
      </w:r>
      <w:r>
        <w:rPr>
          <w:lang w:val="en"/>
        </w:rPr>
        <w:t xml:space="preserve">:</w:t>
      </w:r>
    </w:p>
    <w:p>
      <w:pPr>
        <w:numPr>
          <w:ilvl w:val="0"/>
          <w:numId w:val="1016"/>
        </w:numPr>
        <w:pStyle w:val="Compact"/>
      </w:pPr>
      <w:r>
        <w:rPr>
          <w:lang w:val="en"/>
        </w:rPr>
        <w:t xml:space="preserve">¶3</w:t>
      </w:r>
      <w:r>
        <w:rPr>
          <w:lang w:val="en"/>
        </w:rPr>
        <w:t xml:space="preserve"> </w:t>
      </w:r>
      <w:r>
        <w:rPr>
          <w:lang w:val="en"/>
        </w:rPr>
        <w:t xml:space="preserve">Non-linear ecosystem responses to pressures</w:t>
      </w:r>
    </w:p>
    <w:p>
      <w:pPr>
        <w:numPr>
          <w:ilvl w:val="0"/>
          <w:numId w:val="1016"/>
        </w:numPr>
        <w:pStyle w:val="Compact"/>
      </w:pPr>
      <w:r>
        <w:rPr>
          <w:lang w:val="en"/>
        </w:rPr>
        <w:t xml:space="preserve">¶4</w:t>
      </w:r>
      <w:r>
        <w:rPr>
          <w:lang w:val="en"/>
        </w:rPr>
        <w:t xml:space="preserve"> </w:t>
      </w:r>
      <w:r>
        <w:rPr>
          <w:lang w:val="en"/>
        </w:rPr>
        <w:t xml:space="preserve">Threshold effects and regime shifts</w:t>
      </w:r>
    </w:p>
    <w:p>
      <w:pPr>
        <w:numPr>
          <w:ilvl w:val="0"/>
          <w:numId w:val="1016"/>
        </w:numPr>
        <w:pStyle w:val="Compact"/>
      </w:pPr>
      <w:r>
        <w:rPr>
          <w:lang w:val="en"/>
        </w:rPr>
        <w:t xml:space="preserve">¶5</w:t>
      </w:r>
      <w:r>
        <w:rPr>
          <w:lang w:val="en"/>
        </w:rPr>
        <w:t xml:space="preserve"> </w:t>
      </w:r>
      <w:r>
        <w:rPr>
          <w:lang w:val="en"/>
        </w:rPr>
        <w:t xml:space="preserve">Cumulative and synergistic impacts</w:t>
      </w:r>
    </w:p>
    <w:p>
      <w:pPr>
        <w:numPr>
          <w:ilvl w:val="0"/>
          <w:numId w:val="1016"/>
        </w:numPr>
        <w:pStyle w:val="Compact"/>
      </w:pPr>
      <w:r>
        <w:rPr>
          <w:lang w:val="en"/>
        </w:rPr>
        <w:t xml:space="preserve">¶6</w:t>
      </w:r>
      <w:r>
        <w:rPr>
          <w:lang w:val="en"/>
        </w:rPr>
        <w:t xml:space="preserve"> </w:t>
      </w:r>
      <w:r>
        <w:rPr>
          <w:lang w:val="en"/>
        </w:rPr>
        <w:t xml:space="preserve">Climate change effects on baselines</w:t>
      </w:r>
    </w:p>
    <w:p>
      <w:pPr>
        <w:pStyle w:val="FirstParagraph"/>
      </w:pPr>
      <w:r>
        <w:rPr>
          <w:lang w:val="en"/>
        </w:rPr>
        <w:t xml:space="preserve">¶7</w:t>
      </w:r>
      <w:r>
        <w:rPr>
          <w:lang w:val="en"/>
        </w:rPr>
        <w:t xml:space="preserve"> </w:t>
      </w:r>
      <w:r>
        <w:rPr>
          <w:bCs/>
          <w:b/>
          <w:lang w:val="en"/>
        </w:rPr>
        <w:t xml:space="preserve">Approaches to address</w:t>
      </w:r>
      <w:r>
        <w:rPr>
          <w:lang w:val="en"/>
        </w:rPr>
        <w:t xml:space="preserve">:</w:t>
      </w:r>
    </w:p>
    <w:p>
      <w:pPr>
        <w:numPr>
          <w:ilvl w:val="0"/>
          <w:numId w:val="1017"/>
        </w:numPr>
        <w:pStyle w:val="Compact"/>
      </w:pPr>
      <w:r>
        <w:rPr>
          <w:lang w:val="en"/>
        </w:rPr>
        <w:t xml:space="preserve">¶8</w:t>
      </w:r>
      <w:r>
        <w:rPr>
          <w:lang w:val="en"/>
        </w:rPr>
        <w:t xml:space="preserve"> </w:t>
      </w:r>
      <w:r>
        <w:rPr>
          <w:lang w:val="en"/>
        </w:rPr>
        <w:t xml:space="preserve">Use scenario analysis where trends are uncertain</w:t>
      </w:r>
    </w:p>
    <w:p>
      <w:pPr>
        <w:numPr>
          <w:ilvl w:val="0"/>
          <w:numId w:val="1017"/>
        </w:numPr>
        <w:pStyle w:val="Compact"/>
      </w:pPr>
      <w:r>
        <w:rPr>
          <w:lang w:val="en"/>
        </w:rPr>
        <w:t xml:space="preserve">¶9</w:t>
      </w:r>
      <w:r>
        <w:rPr>
          <w:lang w:val="en"/>
        </w:rPr>
        <w:t xml:space="preserve"> </w:t>
      </w:r>
      <w:r>
        <w:rPr>
          <w:lang w:val="en"/>
        </w:rPr>
        <w:t xml:space="preserve">Document known ecological thresholds</w:t>
      </w:r>
    </w:p>
    <w:p>
      <w:pPr>
        <w:numPr>
          <w:ilvl w:val="0"/>
          <w:numId w:val="1017"/>
        </w:numPr>
        <w:pStyle w:val="Compact"/>
      </w:pPr>
      <w:r>
        <w:rPr>
          <w:lang w:val="en"/>
        </w:rPr>
        <w:t xml:space="preserve">¶10</w:t>
      </w:r>
      <w:r>
        <w:rPr>
          <w:lang w:val="en"/>
        </w:rPr>
        <w:t xml:space="preserve"> </w:t>
      </w:r>
      <w:r>
        <w:rPr>
          <w:lang w:val="en"/>
        </w:rPr>
        <w:t xml:space="preserve">Update reference conditions as understanding improves</w:t>
      </w:r>
    </w:p>
    <w:p>
      <w:pPr>
        <w:numPr>
          <w:ilvl w:val="0"/>
          <w:numId w:val="1017"/>
        </w:numPr>
        <w:pStyle w:val="Compact"/>
      </w:pPr>
      <w:r>
        <w:rPr>
          <w:lang w:val="en"/>
        </w:rPr>
        <w:t xml:space="preserve">¶11</w:t>
      </w:r>
      <w:r>
        <w:rPr>
          <w:lang w:val="en"/>
        </w:rPr>
        <w:t xml:space="preserve"> </w:t>
      </w:r>
      <w:r>
        <w:rPr>
          <w:lang w:val="en"/>
        </w:rPr>
        <w:t xml:space="preserve">Link accounts to ecosystem monitoring programmes</w:t>
      </w:r>
    </w:p>
    <w:bookmarkStart w:id="81" w:name="X59a51ff29aac71c37031f4c825f7430aaedd1fb"/>
    <w:p>
      <w:pPr>
        <w:pStyle w:val="Heading4"/>
      </w:pPr>
      <w:r>
        <w:rPr>
          <w:lang w:val="en"/>
        </w:rPr>
        <w:t xml:space="preserve">3.4.4</w:t>
      </w:r>
      <w:r>
        <w:rPr>
          <w:lang w:val="en"/>
        </w:rPr>
        <w:t xml:space="preserve"> </w:t>
      </w:r>
      <w:r>
        <w:rPr>
          <w:lang w:val="en"/>
        </w:rPr>
        <w:t xml:space="preserve">Future Prices and Values Uncertainty</w:t>
      </w:r>
    </w:p>
    <w:p>
      <w:pPr>
        <w:pStyle w:val="FirstParagraph"/>
      </w:pPr>
      <w:hyperlink w:anchor="X59a51ff29aac71c37031f4c825f7430aaedd1fb">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“3.4.4 Future Prices and Values Uncertainty”</w:t>
        </w:r>
      </w:hyperlink>
    </w:p>
    <w:bookmarkEnd w:id="81"/>
    <w:p>
      <w:pPr>
        <w:pStyle w:val="BodyText"/>
      </w:pPr>
      <w:r>
        <w:rPr>
          <w:lang w:val="en"/>
        </w:rPr>
        <w:t xml:space="preserve">¶1</w:t>
      </w:r>
      <w:r>
        <w:rPr>
          <w:lang w:val="en"/>
        </w:rPr>
        <w:t xml:space="preserve"> </w:t>
      </w:r>
      <w:r>
        <w:rPr>
          <w:lang w:val="en"/>
        </w:rPr>
        <w:t xml:space="preserve">Uncertainty regarding future prices and values.</w:t>
      </w:r>
    </w:p>
    <w:p>
      <w:pPr>
        <w:pStyle w:val="BodyText"/>
      </w:pPr>
      <w:r>
        <w:rPr>
          <w:lang w:val="en"/>
        </w:rPr>
        <w:t xml:space="preserve">¶2</w:t>
      </w:r>
      <w:r>
        <w:rPr>
          <w:lang w:val="en"/>
        </w:rPr>
        <w:t xml:space="preserve"> </w:t>
      </w:r>
      <w:r>
        <w:rPr>
          <w:bCs/>
          <w:b/>
          <w:lang w:val="en"/>
        </w:rPr>
        <w:t xml:space="preserve">Sources in ocean accounts</w:t>
      </w:r>
      <w:r>
        <w:rPr>
          <w:lang w:val="en"/>
        </w:rPr>
        <w:t xml:space="preserve">:</w:t>
      </w:r>
    </w:p>
    <w:p>
      <w:pPr>
        <w:numPr>
          <w:ilvl w:val="0"/>
          <w:numId w:val="1018"/>
        </w:numPr>
        <w:pStyle w:val="Compact"/>
      </w:pPr>
      <w:r>
        <w:rPr>
          <w:lang w:val="en"/>
        </w:rPr>
        <w:t xml:space="preserve">¶3</w:t>
      </w:r>
      <w:r>
        <w:rPr>
          <w:lang w:val="en"/>
        </w:rPr>
        <w:t xml:space="preserve"> </w:t>
      </w:r>
      <w:r>
        <w:rPr>
          <w:lang w:val="en"/>
        </w:rPr>
        <w:t xml:space="preserve">Future market conditions for ocean products</w:t>
      </w:r>
    </w:p>
    <w:p>
      <w:pPr>
        <w:numPr>
          <w:ilvl w:val="0"/>
          <w:numId w:val="1018"/>
        </w:numPr>
        <w:pStyle w:val="Compact"/>
      </w:pPr>
      <w:r>
        <w:rPr>
          <w:lang w:val="en"/>
        </w:rPr>
        <w:t xml:space="preserve">¶4</w:t>
      </w:r>
      <w:r>
        <w:rPr>
          <w:lang w:val="en"/>
        </w:rPr>
        <w:t xml:space="preserve"> </w:t>
      </w:r>
      <w:r>
        <w:rPr>
          <w:lang w:val="en"/>
        </w:rPr>
        <w:t xml:space="preserve">Changing social preferences for ecosystem services</w:t>
      </w:r>
    </w:p>
    <w:p>
      <w:pPr>
        <w:numPr>
          <w:ilvl w:val="0"/>
          <w:numId w:val="1018"/>
        </w:numPr>
        <w:pStyle w:val="Compact"/>
      </w:pPr>
      <w:r>
        <w:rPr>
          <w:lang w:val="en"/>
        </w:rPr>
        <w:t xml:space="preserve">¶5</w:t>
      </w:r>
      <w:r>
        <w:rPr>
          <w:lang w:val="en"/>
        </w:rPr>
        <w:t xml:space="preserve"> </w:t>
      </w:r>
      <w:r>
        <w:rPr>
          <w:lang w:val="en"/>
        </w:rPr>
        <w:t xml:space="preserve">Policy changes affecting resource access or use</w:t>
      </w:r>
    </w:p>
    <w:p>
      <w:pPr>
        <w:numPr>
          <w:ilvl w:val="0"/>
          <w:numId w:val="1018"/>
        </w:numPr>
        <w:pStyle w:val="Compact"/>
      </w:pPr>
      <w:r>
        <w:rPr>
          <w:lang w:val="en"/>
        </w:rPr>
        <w:t xml:space="preserve">¶6</w:t>
      </w:r>
      <w:r>
        <w:rPr>
          <w:lang w:val="en"/>
        </w:rPr>
        <w:t xml:space="preserve"> </w:t>
      </w:r>
      <w:r>
        <w:rPr>
          <w:lang w:val="en"/>
        </w:rPr>
        <w:t xml:space="preserve">Technological change affecting substitution possibilities</w:t>
      </w:r>
    </w:p>
    <w:p>
      <w:pPr>
        <w:pStyle w:val="FirstParagraph"/>
      </w:pPr>
      <w:r>
        <w:rPr>
          <w:lang w:val="en"/>
        </w:rPr>
        <w:t xml:space="preserve">¶7</w:t>
      </w:r>
      <w:r>
        <w:rPr>
          <w:lang w:val="en"/>
        </w:rPr>
        <w:t xml:space="preserve"> </w:t>
      </w:r>
      <w:r>
        <w:rPr>
          <w:bCs/>
          <w:b/>
          <w:lang w:val="en"/>
        </w:rPr>
        <w:t xml:space="preserve">Approaches to address</w:t>
      </w:r>
      <w:r>
        <w:rPr>
          <w:lang w:val="en"/>
        </w:rPr>
        <w:t xml:space="preserve">:</w:t>
      </w:r>
    </w:p>
    <w:p>
      <w:pPr>
        <w:numPr>
          <w:ilvl w:val="0"/>
          <w:numId w:val="1019"/>
        </w:numPr>
        <w:pStyle w:val="Compact"/>
      </w:pPr>
      <w:r>
        <w:rPr>
          <w:lang w:val="en"/>
        </w:rPr>
        <w:t xml:space="preserve">¶8</w:t>
      </w:r>
      <w:r>
        <w:rPr>
          <w:lang w:val="en"/>
        </w:rPr>
        <w:t xml:space="preserve"> </w:t>
      </w:r>
      <w:r>
        <w:rPr>
          <w:lang w:val="en"/>
        </w:rPr>
        <w:t xml:space="preserve">Use current prices for flow accounts</w:t>
      </w:r>
    </w:p>
    <w:p>
      <w:pPr>
        <w:numPr>
          <w:ilvl w:val="0"/>
          <w:numId w:val="1019"/>
        </w:numPr>
        <w:pStyle w:val="Compact"/>
      </w:pPr>
      <w:r>
        <w:rPr>
          <w:lang w:val="en"/>
        </w:rPr>
        <w:t xml:space="preserve">¶9</w:t>
      </w:r>
      <w:r>
        <w:rPr>
          <w:lang w:val="en"/>
        </w:rPr>
        <w:t xml:space="preserve"> </w:t>
      </w:r>
      <w:r>
        <w:rPr>
          <w:lang w:val="en"/>
        </w:rPr>
        <w:t xml:space="preserve">Apply sensitivity analysis for asset valuations</w:t>
      </w:r>
    </w:p>
    <w:p>
      <w:pPr>
        <w:numPr>
          <w:ilvl w:val="0"/>
          <w:numId w:val="1019"/>
        </w:numPr>
        <w:pStyle w:val="Compact"/>
      </w:pPr>
      <w:r>
        <w:rPr>
          <w:lang w:val="en"/>
        </w:rPr>
        <w:t xml:space="preserve">¶10</w:t>
      </w:r>
      <w:r>
        <w:rPr>
          <w:lang w:val="en"/>
        </w:rPr>
        <w:t xml:space="preserve"> </w:t>
      </w:r>
      <w:r>
        <w:rPr>
          <w:lang w:val="en"/>
        </w:rPr>
        <w:t xml:space="preserve">Document assumptions about future conditions</w:t>
      </w:r>
    </w:p>
    <w:p>
      <w:pPr>
        <w:numPr>
          <w:ilvl w:val="0"/>
          <w:numId w:val="1019"/>
        </w:numPr>
        <w:pStyle w:val="Compact"/>
      </w:pPr>
      <w:r>
        <w:rPr>
          <w:lang w:val="en"/>
        </w:rPr>
        <w:t xml:space="preserve">¶11</w:t>
      </w:r>
      <w:r>
        <w:rPr>
          <w:lang w:val="en"/>
        </w:rPr>
        <w:t xml:space="preserve"> </w:t>
      </w:r>
      <w:r>
        <w:rPr>
          <w:lang w:val="en"/>
        </w:rPr>
        <w:t xml:space="preserve">Update valuations periodically</w:t>
      </w:r>
    </w:p>
    <w:bookmarkStart w:id="84" w:name="Xf45619442b79d7a0328ebb5b6275856da1e1734"/>
    <w:p>
      <w:pPr>
        <w:pStyle w:val="Heading3"/>
      </w:pPr>
      <w:r>
        <w:rPr>
          <w:lang w:val="en"/>
        </w:rPr>
        <w:t xml:space="preserve">3.5</w:t>
      </w:r>
      <w:r>
        <w:rPr>
          <w:lang w:val="en"/>
        </w:rPr>
        <w:t xml:space="preserve"> </w:t>
      </w:r>
      <w:r>
        <w:rPr>
          <w:lang w:val="en"/>
        </w:rPr>
        <w:t xml:space="preserve">Documentation Requirements</w:t>
      </w:r>
    </w:p>
    <w:p>
      <w:pPr>
        <w:pStyle w:val="FirstParagraph"/>
      </w:pPr>
      <w:hyperlink w:anchor="Xf45619442b79d7a0328ebb5b6275856da1e1734">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Documentation Requirements”</w:t>
        </w:r>
      </w:hyperlink>
    </w:p>
    <w:bookmarkEnd w:id="84"/>
    <w:p>
      <w:pPr>
        <w:pStyle w:val="BodyText"/>
      </w:pPr>
      <w:r>
        <w:rPr>
          <w:lang w:val="en"/>
        </w:rPr>
        <w:t xml:space="preserve">¶1</w:t>
      </w:r>
      <w:r>
        <w:rPr>
          <w:lang w:val="en"/>
        </w:rPr>
        <w:t xml:space="preserve"> </w:t>
      </w:r>
      <w:r>
        <w:rPr>
          <w:lang w:val="en"/>
        </w:rPr>
        <w:t xml:space="preserve">The SEEA EA closes its discussion of uncertainty by stating that all accounting work should document the scope of measurement, the definitions applied, the methods used, and the assumptions made (para. 2.95). Table 3.5.1 (below) maps these four documentation categories to the phases of the Generic Statistical Business Process Model (GSBPM v5.2).</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Documentation category</w:t>
            </w:r>
          </w:p>
        </w:tc>
        <w:tc>
          <w:tcPr/>
          <w:p>
            <w:pPr>
              <w:pStyle w:val="Compact"/>
              <w:jc w:val="left"/>
            </w:pPr>
            <w:r>
              <w:rPr>
                <w:lang w:val="en"/>
              </w:rPr>
              <w:t xml:space="preserve">GSBPM mapping</w:t>
            </w:r>
          </w:p>
        </w:tc>
        <w:tc>
          <w:tcPr/>
          <w:p>
            <w:pPr>
              <w:pStyle w:val="Compact"/>
              <w:jc w:val="left"/>
            </w:pPr>
            <w:r>
              <w:rPr>
                <w:lang w:val="en"/>
              </w:rPr>
              <w:t xml:space="preserve">Key content</w:t>
            </w:r>
          </w:p>
        </w:tc>
      </w:tr>
      <w:tr>
        <w:tc>
          <w:tcPr/>
          <w:p>
            <w:pPr>
              <w:pStyle w:val="Compact"/>
              <w:jc w:val="left"/>
            </w:pPr>
            <w:r>
              <w:rPr>
                <w:bCs/>
                <w:b/>
                <w:lang w:val="en"/>
              </w:rPr>
              <w:t xml:space="preserve">Scope of measurement</w:t>
            </w:r>
          </w:p>
        </w:tc>
        <w:tc>
          <w:tcPr/>
          <w:p>
            <w:pPr>
              <w:pStyle w:val="Compact"/>
              <w:jc w:val="left"/>
            </w:pPr>
            <w:r>
              <w:rPr>
                <w:lang w:val="en"/>
              </w:rPr>
              <w:t xml:space="preserve">Phase 1 — Specify Needs</w:t>
            </w:r>
          </w:p>
        </w:tc>
        <w:tc>
          <w:tcPr/>
          <w:p>
            <w:pPr>
              <w:pStyle w:val="Compact"/>
              <w:jc w:val="left"/>
            </w:pPr>
            <w:r>
              <w:rPr>
                <w:lang w:val="en"/>
              </w:rPr>
              <w:t xml:space="preserve">Geographic, temporal, thematic coverage; inclusions and exclusions</w:t>
            </w:r>
          </w:p>
        </w:tc>
      </w:tr>
      <w:tr>
        <w:tc>
          <w:tcPr/>
          <w:p>
            <w:pPr>
              <w:pStyle w:val="Compact"/>
              <w:jc w:val="left"/>
            </w:pPr>
            <w:r>
              <w:rPr>
                <w:bCs/>
                <w:b/>
                <w:lang w:val="en"/>
              </w:rPr>
              <w:t xml:space="preserve">Definitions applied</w:t>
            </w:r>
          </w:p>
        </w:tc>
        <w:tc>
          <w:tcPr/>
          <w:p>
            <w:pPr>
              <w:pStyle w:val="Compact"/>
              <w:jc w:val="left"/>
            </w:pPr>
            <w:r>
              <w:rPr>
                <w:lang w:val="en"/>
              </w:rPr>
              <w:t xml:space="preserve">Phase 2 — Design</w:t>
            </w:r>
          </w:p>
        </w:tc>
        <w:tc>
          <w:tcPr/>
          <w:p>
            <w:pPr>
              <w:pStyle w:val="Compact"/>
              <w:jc w:val="left"/>
            </w:pPr>
            <w:r>
              <w:rPr>
                <w:lang w:val="en"/>
              </w:rPr>
              <w:t xml:space="preserve">Ecosystem type definitions; industry/product classifications; alignment with international standards</w:t>
            </w:r>
          </w:p>
        </w:tc>
      </w:tr>
      <w:tr>
        <w:tc>
          <w:tcPr/>
          <w:p>
            <w:pPr>
              <w:pStyle w:val="Compact"/>
              <w:jc w:val="left"/>
            </w:pPr>
            <w:r>
              <w:rPr>
                <w:bCs/>
                <w:b/>
                <w:lang w:val="en"/>
              </w:rPr>
              <w:t xml:space="preserve">Methods used</w:t>
            </w:r>
          </w:p>
        </w:tc>
        <w:tc>
          <w:tcPr/>
          <w:p>
            <w:pPr>
              <w:pStyle w:val="Compact"/>
              <w:jc w:val="left"/>
            </w:pPr>
            <w:r>
              <w:rPr>
                <w:lang w:val="en"/>
              </w:rPr>
              <w:t xml:space="preserve">Phase 5 — Process</w:t>
            </w:r>
          </w:p>
        </w:tc>
        <w:tc>
          <w:tcPr/>
          <w:p>
            <w:pPr>
              <w:pStyle w:val="Compact"/>
              <w:jc w:val="left"/>
            </w:pPr>
            <w:r>
              <w:rPr>
                <w:lang w:val="en"/>
              </w:rPr>
              <w:t xml:space="preserve">Data sources; compilation procedures; valuation approaches; spatial analysis; gap-filling</w:t>
            </w:r>
          </w:p>
        </w:tc>
      </w:tr>
      <w:tr>
        <w:tc>
          <w:tcPr/>
          <w:p>
            <w:pPr>
              <w:pStyle w:val="Compact"/>
              <w:jc w:val="left"/>
            </w:pPr>
            <w:r>
              <w:rPr>
                <w:bCs/>
                <w:b/>
                <w:lang w:val="en"/>
              </w:rPr>
              <w:t xml:space="preserve">Assumptions made</w:t>
            </w:r>
          </w:p>
        </w:tc>
        <w:tc>
          <w:tcPr/>
          <w:p>
            <w:pPr>
              <w:pStyle w:val="Compact"/>
              <w:jc w:val="left"/>
            </w:pPr>
            <w:r>
              <w:rPr>
                <w:lang w:val="en"/>
              </w:rPr>
              <w:t xml:space="preserve">Phase 5 — Process</w:t>
            </w:r>
          </w:p>
        </w:tc>
        <w:tc>
          <w:tcPr/>
          <w:p>
            <w:pPr>
              <w:pStyle w:val="Compact"/>
              <w:jc w:val="left"/>
            </w:pPr>
            <w:r>
              <w:rPr>
                <w:lang w:val="en"/>
              </w:rPr>
              <w:t xml:space="preserve">Key assumptions underlying estimates; sensitivity of results; known biases; expert judgement basis. Sensitivity analysis results: also Phase 8 — Evaluate</w:t>
            </w:r>
          </w:p>
        </w:tc>
      </w:tr>
    </w:tbl>
    <w:bookmarkStart w:id="87" w:name="X9a759c979d2b2bc24d7a7ed3221df87ce980c40"/>
    <w:p>
      <w:pPr>
        <w:pStyle w:val="Heading4"/>
      </w:pPr>
      <w:r>
        <w:rPr>
          <w:lang w:val="en"/>
        </w:rPr>
        <w:t xml:space="preserve">3.5.1</w:t>
      </w:r>
      <w:r>
        <w:rPr>
          <w:lang w:val="en"/>
        </w:rPr>
        <w:t xml:space="preserve"> </w:t>
      </w:r>
      <w:r>
        <w:rPr>
          <w:lang w:val="en"/>
        </w:rPr>
        <w:t xml:space="preserve">Scope of Measurement</w:t>
      </w:r>
    </w:p>
    <w:p>
      <w:pPr>
        <w:pStyle w:val="FirstParagraph"/>
      </w:pPr>
      <w:hyperlink w:anchor="X9a759c979d2b2bc24d7a7ed3221df87ce980c40">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Scope of Measurement”</w:t>
        </w:r>
      </w:hyperlink>
    </w:p>
    <w:bookmarkEnd w:id="87"/>
    <w:p>
      <w:pPr>
        <w:numPr>
          <w:ilvl w:val="0"/>
          <w:numId w:val="1020"/>
        </w:numPr>
        <w:pStyle w:val="Compact"/>
      </w:pPr>
      <w:r>
        <w:rPr>
          <w:lang w:val="en"/>
        </w:rPr>
        <w:t xml:space="preserve">¶1</w:t>
      </w:r>
      <w:r>
        <w:rPr>
          <w:lang w:val="en"/>
        </w:rPr>
        <w:t xml:space="preserve"> </w:t>
      </w:r>
      <w:r>
        <w:rPr>
          <w:lang w:val="en"/>
        </w:rPr>
        <w:t xml:space="preserve">Geographic coverage (EEZ, coastal zone, specific regions)</w:t>
      </w:r>
    </w:p>
    <w:p>
      <w:pPr>
        <w:numPr>
          <w:ilvl w:val="0"/>
          <w:numId w:val="1020"/>
        </w:numPr>
        <w:pStyle w:val="Compact"/>
      </w:pPr>
      <w:r>
        <w:rPr>
          <w:lang w:val="en"/>
        </w:rPr>
        <w:t xml:space="preserve">¶2</w:t>
      </w:r>
      <w:r>
        <w:rPr>
          <w:lang w:val="en"/>
        </w:rPr>
        <w:t xml:space="preserve"> </w:t>
      </w:r>
      <w:r>
        <w:rPr>
          <w:lang w:val="en"/>
        </w:rPr>
        <w:t xml:space="preserve">Temporal coverage (accounting period, time series extent)</w:t>
      </w:r>
    </w:p>
    <w:p>
      <w:pPr>
        <w:numPr>
          <w:ilvl w:val="0"/>
          <w:numId w:val="1020"/>
        </w:numPr>
        <w:pStyle w:val="Compact"/>
      </w:pPr>
      <w:r>
        <w:rPr>
          <w:lang w:val="en"/>
        </w:rPr>
        <w:t xml:space="preserve">¶3</w:t>
      </w:r>
      <w:r>
        <w:rPr>
          <w:lang w:val="en"/>
        </w:rPr>
        <w:t xml:space="preserve"> </w:t>
      </w:r>
      <w:r>
        <w:rPr>
          <w:lang w:val="en"/>
        </w:rPr>
        <w:t xml:space="preserve">Thematic coverage (ecosystem types, economic sectors, asset categories)</w:t>
      </w:r>
    </w:p>
    <w:p>
      <w:pPr>
        <w:numPr>
          <w:ilvl w:val="0"/>
          <w:numId w:val="1020"/>
        </w:numPr>
        <w:pStyle w:val="Compact"/>
      </w:pPr>
      <w:r>
        <w:rPr>
          <w:lang w:val="en"/>
        </w:rPr>
        <w:t xml:space="preserve">¶4</w:t>
      </w:r>
      <w:r>
        <w:rPr>
          <w:lang w:val="en"/>
        </w:rPr>
        <w:t xml:space="preserve"> </w:t>
      </w:r>
      <w:r>
        <w:rPr>
          <w:lang w:val="en"/>
        </w:rPr>
        <w:t xml:space="preserve">What is included and excluded, with rationale</w:t>
      </w:r>
    </w:p>
    <w:bookmarkStart w:id="90" w:name="X4047c1722da4beaab8b33d00baa9f56d0c17bfb"/>
    <w:p>
      <w:pPr>
        <w:pStyle w:val="Heading4"/>
      </w:pPr>
      <w:r>
        <w:rPr>
          <w:lang w:val="en"/>
        </w:rPr>
        <w:t xml:space="preserve">3.5.2</w:t>
      </w:r>
      <w:r>
        <w:rPr>
          <w:lang w:val="en"/>
        </w:rPr>
        <w:t xml:space="preserve"> </w:t>
      </w:r>
      <w:r>
        <w:rPr>
          <w:lang w:val="en"/>
        </w:rPr>
        <w:t xml:space="preserve">Definitions Applied</w:t>
      </w:r>
    </w:p>
    <w:p>
      <w:pPr>
        <w:pStyle w:val="FirstParagraph"/>
      </w:pPr>
      <w:hyperlink w:anchor="X4047c1722da4beaab8b33d00baa9f56d0c17bfb">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Definitions Applied”</w:t>
        </w:r>
      </w:hyperlink>
    </w:p>
    <w:bookmarkEnd w:id="90"/>
    <w:p>
      <w:pPr>
        <w:numPr>
          <w:ilvl w:val="0"/>
          <w:numId w:val="1021"/>
        </w:numPr>
        <w:pStyle w:val="Compact"/>
      </w:pPr>
      <w:r>
        <w:rPr>
          <w:lang w:val="en"/>
        </w:rPr>
        <w:t xml:space="preserve">¶1</w:t>
      </w:r>
      <w:r>
        <w:rPr>
          <w:lang w:val="en"/>
        </w:rPr>
        <w:t xml:space="preserve"> </w:t>
      </w:r>
      <w:r>
        <w:rPr>
          <w:lang w:val="en"/>
        </w:rPr>
        <w:t xml:space="preserve">Ecosystem type definitions and classification used</w:t>
      </w:r>
    </w:p>
    <w:p>
      <w:pPr>
        <w:numPr>
          <w:ilvl w:val="0"/>
          <w:numId w:val="1021"/>
        </w:numPr>
        <w:pStyle w:val="Compact"/>
      </w:pPr>
      <w:r>
        <w:rPr>
          <w:lang w:val="en"/>
        </w:rPr>
        <w:t xml:space="preserve">¶2</w:t>
      </w:r>
      <w:r>
        <w:rPr>
          <w:lang w:val="en"/>
        </w:rPr>
        <w:t xml:space="preserve"> </w:t>
      </w:r>
      <w:r>
        <w:rPr>
          <w:lang w:val="en"/>
        </w:rPr>
        <w:t xml:space="preserve">Industry and product classifications</w:t>
      </w:r>
    </w:p>
    <w:p>
      <w:pPr>
        <w:numPr>
          <w:ilvl w:val="0"/>
          <w:numId w:val="1021"/>
        </w:numPr>
        <w:pStyle w:val="Compact"/>
      </w:pPr>
      <w:r>
        <w:rPr>
          <w:lang w:val="en"/>
        </w:rPr>
        <w:t xml:space="preserve">¶3</w:t>
      </w:r>
      <w:r>
        <w:rPr>
          <w:lang w:val="en"/>
        </w:rPr>
        <w:t xml:space="preserve"> </w:t>
      </w:r>
      <w:r>
        <w:rPr>
          <w:lang w:val="en"/>
        </w:rPr>
        <w:t xml:space="preserve">Asset boundary definitions (e.g., treatment of aquaculture)</w:t>
      </w:r>
    </w:p>
    <w:p>
      <w:pPr>
        <w:numPr>
          <w:ilvl w:val="0"/>
          <w:numId w:val="1021"/>
        </w:numPr>
        <w:pStyle w:val="Compact"/>
      </w:pPr>
      <w:r>
        <w:rPr>
          <w:lang w:val="en"/>
        </w:rPr>
        <w:t xml:space="preserve">¶4</w:t>
      </w:r>
      <w:r>
        <w:rPr>
          <w:lang w:val="en"/>
        </w:rPr>
        <w:t xml:space="preserve"> </w:t>
      </w:r>
      <w:r>
        <w:rPr>
          <w:lang w:val="en"/>
        </w:rPr>
        <w:t xml:space="preserve">Alignment with international standards (or departures with justification)</w:t>
      </w:r>
    </w:p>
    <w:bookmarkStart w:id="93" w:name="X00b4c144dabbf47a666acb115e4efe8b3b9bcc7"/>
    <w:p>
      <w:pPr>
        <w:pStyle w:val="Heading4"/>
      </w:pPr>
      <w:r>
        <w:rPr>
          <w:lang w:val="en"/>
        </w:rPr>
        <w:t xml:space="preserve">3.5.3</w:t>
      </w:r>
      <w:r>
        <w:rPr>
          <w:lang w:val="en"/>
        </w:rPr>
        <w:t xml:space="preserve"> </w:t>
      </w:r>
      <w:r>
        <w:rPr>
          <w:lang w:val="en"/>
        </w:rPr>
        <w:t xml:space="preserve">Methods Used</w:t>
      </w:r>
    </w:p>
    <w:p>
      <w:pPr>
        <w:pStyle w:val="FirstParagraph"/>
      </w:pPr>
      <w:hyperlink w:anchor="X00b4c144dabbf47a666acb115e4efe8b3b9bcc7">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Methods Used”</w:t>
        </w:r>
      </w:hyperlink>
    </w:p>
    <w:bookmarkEnd w:id="93"/>
    <w:p>
      <w:pPr>
        <w:numPr>
          <w:ilvl w:val="0"/>
          <w:numId w:val="1022"/>
        </w:numPr>
        <w:pStyle w:val="Compact"/>
      </w:pPr>
      <w:r>
        <w:rPr>
          <w:lang w:val="en"/>
        </w:rPr>
        <w:t xml:space="preserve">¶1</w:t>
      </w:r>
      <w:r>
        <w:rPr>
          <w:lang w:val="en"/>
        </w:rPr>
        <w:t xml:space="preserve"> </w:t>
      </w:r>
      <w:r>
        <w:rPr>
          <w:lang w:val="en"/>
        </w:rPr>
        <w:t xml:space="preserve">Data sources and collection methods</w:t>
      </w:r>
    </w:p>
    <w:p>
      <w:pPr>
        <w:numPr>
          <w:ilvl w:val="0"/>
          <w:numId w:val="1022"/>
        </w:numPr>
        <w:pStyle w:val="Compact"/>
      </w:pPr>
      <w:r>
        <w:rPr>
          <w:lang w:val="en"/>
        </w:rPr>
        <w:t xml:space="preserve">¶2</w:t>
      </w:r>
      <w:r>
        <w:rPr>
          <w:lang w:val="en"/>
        </w:rPr>
        <w:t xml:space="preserve"> </w:t>
      </w:r>
      <w:r>
        <w:rPr>
          <w:lang w:val="en"/>
        </w:rPr>
        <w:t xml:space="preserve">Compilation procedures and algorithms</w:t>
      </w:r>
    </w:p>
    <w:p>
      <w:pPr>
        <w:numPr>
          <w:ilvl w:val="0"/>
          <w:numId w:val="1022"/>
        </w:numPr>
        <w:pStyle w:val="Compact"/>
      </w:pPr>
      <w:r>
        <w:rPr>
          <w:lang w:val="en"/>
        </w:rPr>
        <w:t xml:space="preserve">¶3</w:t>
      </w:r>
      <w:r>
        <w:rPr>
          <w:lang w:val="en"/>
        </w:rPr>
        <w:t xml:space="preserve"> </w:t>
      </w:r>
      <w:r>
        <w:rPr>
          <w:lang w:val="en"/>
        </w:rPr>
        <w:t xml:space="preserve">Valuation approaches (for monetary accounts)</w:t>
      </w:r>
    </w:p>
    <w:p>
      <w:pPr>
        <w:numPr>
          <w:ilvl w:val="0"/>
          <w:numId w:val="1022"/>
        </w:numPr>
        <w:pStyle w:val="Compact"/>
      </w:pPr>
      <w:r>
        <w:rPr>
          <w:lang w:val="en"/>
        </w:rPr>
        <w:t xml:space="preserve">¶4</w:t>
      </w:r>
      <w:r>
        <w:rPr>
          <w:lang w:val="en"/>
        </w:rPr>
        <w:t xml:space="preserve"> </w:t>
      </w:r>
      <w:r>
        <w:rPr>
          <w:lang w:val="en"/>
        </w:rPr>
        <w:t xml:space="preserve">Spatial analysis methods</w:t>
      </w:r>
    </w:p>
    <w:p>
      <w:pPr>
        <w:numPr>
          <w:ilvl w:val="0"/>
          <w:numId w:val="1022"/>
        </w:numPr>
        <w:pStyle w:val="Compact"/>
      </w:pPr>
      <w:r>
        <w:rPr>
          <w:lang w:val="en"/>
        </w:rPr>
        <w:t xml:space="preserve">¶5</w:t>
      </w:r>
      <w:r>
        <w:rPr>
          <w:lang w:val="en"/>
        </w:rPr>
        <w:t xml:space="preserve"> </w:t>
      </w:r>
      <w:r>
        <w:rPr>
          <w:lang w:val="en"/>
        </w:rPr>
        <w:t xml:space="preserve">Gap-filling and estimation procedures</w:t>
      </w:r>
    </w:p>
    <w:bookmarkStart w:id="96" w:name="X2a3cc516013886e75ea5fe3a2e5743c61d7f45f"/>
    <w:p>
      <w:pPr>
        <w:pStyle w:val="Heading4"/>
      </w:pPr>
      <w:r>
        <w:rPr>
          <w:lang w:val="en"/>
        </w:rPr>
        <w:t xml:space="preserve">3.5.4</w:t>
      </w:r>
      <w:r>
        <w:rPr>
          <w:lang w:val="en"/>
        </w:rPr>
        <w:t xml:space="preserve"> </w:t>
      </w:r>
      <w:r>
        <w:rPr>
          <w:lang w:val="en"/>
        </w:rPr>
        <w:t xml:space="preserve">Assumptions Made</w:t>
      </w:r>
    </w:p>
    <w:p>
      <w:pPr>
        <w:pStyle w:val="FirstParagraph"/>
      </w:pPr>
      <w:hyperlink w:anchor="X2a3cc516013886e75ea5fe3a2e5743c61d7f45f">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“3.5.4 Assumptions Made”</w:t>
        </w:r>
      </w:hyperlink>
    </w:p>
    <w:bookmarkEnd w:id="96"/>
    <w:p>
      <w:pPr>
        <w:numPr>
          <w:ilvl w:val="0"/>
          <w:numId w:val="1023"/>
        </w:numPr>
        <w:pStyle w:val="Compact"/>
      </w:pPr>
      <w:r>
        <w:rPr>
          <w:lang w:val="en"/>
        </w:rPr>
        <w:t xml:space="preserve">¶1</w:t>
      </w:r>
      <w:r>
        <w:rPr>
          <w:lang w:val="en"/>
        </w:rPr>
        <w:t xml:space="preserve"> </w:t>
      </w:r>
      <w:r>
        <w:rPr>
          <w:lang w:val="en"/>
        </w:rPr>
        <w:t xml:space="preserve">Key assumptions underlying estimates</w:t>
      </w:r>
    </w:p>
    <w:p>
      <w:pPr>
        <w:numPr>
          <w:ilvl w:val="0"/>
          <w:numId w:val="1023"/>
        </w:numPr>
        <w:pStyle w:val="Compact"/>
      </w:pPr>
      <w:r>
        <w:rPr>
          <w:lang w:val="en"/>
        </w:rPr>
        <w:t xml:space="preserve">¶2</w:t>
      </w:r>
      <w:r>
        <w:rPr>
          <w:lang w:val="en"/>
        </w:rPr>
        <w:t xml:space="preserve"> </w:t>
      </w:r>
      <w:r>
        <w:rPr>
          <w:lang w:val="en"/>
        </w:rPr>
        <w:t xml:space="preserve">Sensitivity of results to assumption changes</w:t>
      </w:r>
    </w:p>
    <w:p>
      <w:pPr>
        <w:numPr>
          <w:ilvl w:val="0"/>
          <w:numId w:val="1023"/>
        </w:numPr>
        <w:pStyle w:val="Compact"/>
      </w:pPr>
      <w:r>
        <w:rPr>
          <w:lang w:val="en"/>
        </w:rPr>
        <w:t xml:space="preserve">¶3</w:t>
      </w:r>
      <w:r>
        <w:rPr>
          <w:lang w:val="en"/>
        </w:rPr>
        <w:t xml:space="preserve"> </w:t>
      </w:r>
      <w:r>
        <w:rPr>
          <w:lang w:val="en"/>
        </w:rPr>
        <w:t xml:space="preserve">Known biases and their direction</w:t>
      </w:r>
    </w:p>
    <w:p>
      <w:pPr>
        <w:numPr>
          <w:ilvl w:val="0"/>
          <w:numId w:val="1023"/>
        </w:numPr>
        <w:pStyle w:val="Compact"/>
      </w:pPr>
      <w:r>
        <w:rPr>
          <w:lang w:val="en"/>
        </w:rPr>
        <w:t xml:space="preserve">¶4</w:t>
      </w:r>
      <w:r>
        <w:rPr>
          <w:lang w:val="en"/>
        </w:rPr>
        <w:t xml:space="preserve"> </w:t>
      </w:r>
      <w:r>
        <w:rPr>
          <w:lang w:val="en"/>
        </w:rPr>
        <w:t xml:space="preserve">Expert judgement employed and its basis</w:t>
      </w:r>
    </w:p>
    <w:bookmarkStart w:id="99" w:name="X6ed5d8ea8c55b046a2c00f5cd72be9f4b9f8913"/>
    <w:p>
      <w:pPr>
        <w:pStyle w:val="Heading3"/>
      </w:pPr>
      <w:r>
        <w:rPr>
          <w:lang w:val="en"/>
        </w:rPr>
        <w:t xml:space="preserve">3.6</w:t>
      </w:r>
      <w:r>
        <w:rPr>
          <w:lang w:val="en"/>
        </w:rPr>
        <w:t xml:space="preserve"> </w:t>
      </w:r>
      <w:r>
        <w:rPr>
          <w:lang w:val="en"/>
        </w:rPr>
        <w:t xml:space="preserve">Quality Flags for Accounts Tables</w:t>
      </w:r>
    </w:p>
    <w:p>
      <w:pPr>
        <w:pStyle w:val="FirstParagraph"/>
      </w:pPr>
      <w:hyperlink w:anchor="X6ed5d8ea8c55b046a2c00f5cd72be9f4b9f8913">
        <w:r>
          <w:drawing>
            <wp:inline>
              <wp:extent cx="152400" cy="152400"/>
              <wp:effectExtent b="0" l="0" r="0" t="0"/>
              <wp:docPr descr="" title="" id="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Quality Flags for Accounts Tables”</w:t>
        </w:r>
      </w:hyperlink>
    </w:p>
    <w:bookmarkEnd w:id="99"/>
    <w:p>
      <w:pPr>
        <w:pStyle w:val="BodyText"/>
      </w:pPr>
      <w:r>
        <w:rPr>
          <w:lang w:val="en"/>
        </w:rPr>
        <w:t xml:space="preserve">¶1</w:t>
      </w:r>
      <w:r>
        <w:rPr>
          <w:lang w:val="en"/>
        </w:rPr>
        <w:t xml:space="preserve"> </w:t>
      </w:r>
      <w:r>
        <w:rPr>
          <w:lang w:val="en"/>
        </w:rPr>
        <w:t xml:space="preserve">Table 3.6.1 sets out a recommended flagging system for ocean accounts tables.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Flag</w:t>
            </w:r>
          </w:p>
        </w:tc>
        <w:tc>
          <w:tcPr/>
          <w:p>
            <w:pPr>
              <w:pStyle w:val="Compact"/>
              <w:jc w:val="left"/>
            </w:pPr>
            <w:r>
              <w:rPr>
                <w:lang w:val="en"/>
              </w:rPr>
              <w:t xml:space="preserve">Meaning</w:t>
            </w:r>
          </w:p>
        </w:tc>
        <w:tc>
          <w:tcPr/>
          <w:p>
            <w:pPr>
              <w:pStyle w:val="Compact"/>
              <w:jc w:val="left"/>
            </w:pPr>
            <w:r>
              <w:rPr>
                <w:lang w:val="en"/>
              </w:rPr>
              <w:t xml:space="preserve">Description</w:t>
            </w:r>
          </w:p>
        </w:tc>
      </w:tr>
      <w:tr>
        <w:tc>
          <w:tcPr/>
          <w:p>
            <w:pPr>
              <w:pStyle w:val="Compact"/>
              <w:jc w:val="left"/>
            </w:pPr>
            <w:r>
              <w:rPr>
                <w:bCs/>
                <w:b/>
                <w:lang w:val="en"/>
              </w:rPr>
              <w:t xml:space="preserve">A</w:t>
            </w:r>
          </w:p>
        </w:tc>
        <w:tc>
          <w:tcPr/>
          <w:p>
            <w:pPr>
              <w:pStyle w:val="Compact"/>
              <w:jc w:val="left"/>
            </w:pPr>
            <w:r>
              <w:rPr>
                <w:lang w:val="en"/>
              </w:rPr>
              <w:t xml:space="preserve">High quality</w:t>
            </w:r>
          </w:p>
        </w:tc>
        <w:tc>
          <w:tcPr/>
          <w:p>
            <w:pPr>
              <w:pStyle w:val="Compact"/>
              <w:jc w:val="left"/>
            </w:pPr>
            <w:r>
              <w:rPr>
                <w:lang w:val="en"/>
              </w:rPr>
              <w:t xml:space="preserve">Based on comprehensive data; low uncertainty</w:t>
            </w:r>
          </w:p>
        </w:tc>
      </w:tr>
      <w:tr>
        <w:tc>
          <w:tcPr/>
          <w:p>
            <w:pPr>
              <w:pStyle w:val="Compact"/>
              <w:jc w:val="left"/>
            </w:pPr>
            <w:r>
              <w:rPr>
                <w:bCs/>
                <w:b/>
                <w:lang w:val="en"/>
              </w:rPr>
              <w:t xml:space="preserve">B</w:t>
            </w:r>
          </w:p>
        </w:tc>
        <w:tc>
          <w:tcPr/>
          <w:p>
            <w:pPr>
              <w:pStyle w:val="Compact"/>
              <w:jc w:val="left"/>
            </w:pPr>
            <w:r>
              <w:rPr>
                <w:lang w:val="en"/>
              </w:rPr>
              <w:t xml:space="preserve">Acceptable quality</w:t>
            </w:r>
          </w:p>
        </w:tc>
        <w:tc>
          <w:tcPr/>
          <w:p>
            <w:pPr>
              <w:pStyle w:val="Compact"/>
              <w:jc w:val="left"/>
            </w:pPr>
            <w:r>
              <w:rPr>
                <w:lang w:val="en"/>
              </w:rPr>
              <w:t xml:space="preserve">Based on representative data; moderate uncertainty</w:t>
            </w:r>
          </w:p>
        </w:tc>
      </w:tr>
      <w:tr>
        <w:tc>
          <w:tcPr/>
          <w:p>
            <w:pPr>
              <w:pStyle w:val="Compact"/>
              <w:jc w:val="left"/>
            </w:pPr>
            <w:r>
              <w:rPr>
                <w:bCs/>
                <w:b/>
                <w:lang w:val="en"/>
              </w:rPr>
              <w:t xml:space="preserve">C</w:t>
            </w:r>
          </w:p>
        </w:tc>
        <w:tc>
          <w:tcPr/>
          <w:p>
            <w:pPr>
              <w:pStyle w:val="Compact"/>
              <w:jc w:val="left"/>
            </w:pPr>
            <w:r>
              <w:rPr>
                <w:lang w:val="en"/>
              </w:rPr>
              <w:t xml:space="preserve">Use with caution</w:t>
            </w:r>
          </w:p>
        </w:tc>
        <w:tc>
          <w:tcPr/>
          <w:p>
            <w:pPr>
              <w:pStyle w:val="Compact"/>
              <w:jc w:val="left"/>
            </w:pPr>
            <w:r>
              <w:rPr>
                <w:lang w:val="en"/>
              </w:rPr>
              <w:t xml:space="preserve">Limited data; significant uncertainty; may be revised</w:t>
            </w:r>
          </w:p>
        </w:tc>
      </w:tr>
      <w:tr>
        <w:tc>
          <w:tcPr/>
          <w:p>
            <w:pPr>
              <w:pStyle w:val="Compact"/>
              <w:jc w:val="left"/>
            </w:pPr>
            <w:r>
              <w:rPr>
                <w:bCs/>
                <w:b/>
                <w:lang w:val="en"/>
              </w:rPr>
              <w:t xml:space="preserve">P</w:t>
            </w:r>
          </w:p>
        </w:tc>
        <w:tc>
          <w:tcPr/>
          <w:p>
            <w:pPr>
              <w:pStyle w:val="Compact"/>
              <w:jc w:val="left"/>
            </w:pPr>
            <w:r>
              <w:rPr>
                <w:lang w:val="en"/>
              </w:rPr>
              <w:t xml:space="preserve">Provisional</w:t>
            </w:r>
          </w:p>
        </w:tc>
        <w:tc>
          <w:tcPr/>
          <w:p>
            <w:pPr>
              <w:pStyle w:val="Compact"/>
              <w:jc w:val="left"/>
            </w:pPr>
            <w:r>
              <w:rPr>
                <w:lang w:val="en"/>
              </w:rPr>
              <w:t xml:space="preserve">Preliminary estimate; will be revised when data available</w:t>
            </w:r>
          </w:p>
        </w:tc>
      </w:tr>
      <w:tr>
        <w:tc>
          <w:tcPr/>
          <w:p>
            <w:pPr>
              <w:pStyle w:val="Compact"/>
              <w:jc w:val="left"/>
            </w:pPr>
            <w:r>
              <w:rPr>
                <w:bCs/>
                <w:b/>
                <w:lang w:val="en"/>
              </w:rPr>
              <w:t xml:space="preserve">E</w:t>
            </w:r>
          </w:p>
        </w:tc>
        <w:tc>
          <w:tcPr/>
          <w:p>
            <w:pPr>
              <w:pStyle w:val="Compact"/>
              <w:jc w:val="left"/>
            </w:pPr>
            <w:r>
              <w:rPr>
                <w:lang w:val="en"/>
              </w:rPr>
              <w:t xml:space="preserve">Estimated</w:t>
            </w:r>
          </w:p>
        </w:tc>
        <w:tc>
          <w:tcPr/>
          <w:p>
            <w:pPr>
              <w:pStyle w:val="Compact"/>
              <w:jc w:val="left"/>
            </w:pPr>
            <w:r>
              <w:rPr>
                <w:lang w:val="en"/>
              </w:rPr>
              <w:t xml:space="preserve">Derived from models or benefit transfer; not direct measurement</w:t>
            </w:r>
          </w:p>
        </w:tc>
      </w:tr>
      <w:tr>
        <w:tc>
          <w:tcPr/>
          <w:p>
            <w:pPr>
              <w:pStyle w:val="Compact"/>
              <w:jc w:val="left"/>
            </w:pPr>
            <w:r>
              <w:rPr>
                <w:bCs/>
                <w:b/>
                <w:lang w:val="en"/>
              </w:rPr>
              <w:t xml:space="preserve">X</w:t>
            </w:r>
          </w:p>
        </w:tc>
        <w:tc>
          <w:tcPr/>
          <w:p>
            <w:pPr>
              <w:pStyle w:val="Compact"/>
              <w:jc w:val="left"/>
            </w:pPr>
            <w:r>
              <w:rPr>
                <w:lang w:val="en"/>
              </w:rPr>
              <w:t xml:space="preserve">Suppressed</w:t>
            </w:r>
          </w:p>
        </w:tc>
        <w:tc>
          <w:tcPr/>
          <w:p>
            <w:pPr>
              <w:pStyle w:val="Compact"/>
              <w:jc w:val="left"/>
            </w:pPr>
            <w:r>
              <w:rPr>
                <w:lang w:val="en"/>
              </w:rPr>
              <w:t xml:space="preserve">Data withheld for confidentiality or quality reasons</w:t>
            </w:r>
          </w:p>
        </w:tc>
      </w:tr>
      <w:tr>
        <w:tc>
          <w:tcPr/>
          <w:p>
            <w:pPr>
              <w:pStyle w:val="Compact"/>
              <w:jc w:val="left"/>
            </w:pPr>
            <w:r>
              <w:rPr>
                <w:bCs/>
                <w:b/>
                <w:lang w:val="en"/>
              </w:rPr>
              <w:t xml:space="preserve">n/a</w:t>
            </w:r>
          </w:p>
        </w:tc>
        <w:tc>
          <w:tcPr/>
          <w:p>
            <w:pPr>
              <w:pStyle w:val="Compact"/>
              <w:jc w:val="left"/>
            </w:pPr>
            <w:r>
              <w:rPr>
                <w:lang w:val="en"/>
              </w:rPr>
              <w:t xml:space="preserve">Not applicable</w:t>
            </w:r>
          </w:p>
        </w:tc>
        <w:tc>
          <w:tcPr/>
          <w:p>
            <w:pPr>
              <w:pStyle w:val="Compact"/>
              <w:jc w:val="left"/>
            </w:pPr>
            <w:r>
              <w:rPr>
                <w:lang w:val="en"/>
              </w:rPr>
              <w:t xml:space="preserve">Concept does not apply to this cell</w:t>
            </w:r>
          </w:p>
        </w:tc>
      </w:tr>
      <w:tr>
        <w:tc>
          <w:tcPr/>
          <w:p>
            <w:pPr>
              <w:pStyle w:val="Compact"/>
              <w:jc w:val="left"/>
            </w:pPr>
            <w:r>
              <w:rPr>
                <w:bCs/>
                <w:b/>
                <w:lang w:val="en"/>
              </w:rPr>
              <w:t xml:space="preserve">..</w:t>
            </w:r>
          </w:p>
        </w:tc>
        <w:tc>
          <w:tcPr/>
          <w:p>
            <w:pPr>
              <w:pStyle w:val="Compact"/>
              <w:jc w:val="left"/>
            </w:pPr>
            <w:r>
              <w:rPr>
                <w:lang w:val="en"/>
              </w:rPr>
              <w:t xml:space="preserve">Not available</w:t>
            </w:r>
          </w:p>
        </w:tc>
        <w:tc>
          <w:tcPr/>
          <w:p>
            <w:pPr>
              <w:pStyle w:val="Compact"/>
              <w:jc w:val="left"/>
            </w:pPr>
            <w:r>
              <w:rPr>
                <w:lang w:val="en"/>
              </w:rPr>
              <w:t xml:space="preserve">Data not collected or not yet compiled</w:t>
            </w:r>
          </w:p>
        </w:tc>
      </w:tr>
    </w:tbl>
    <w:p>
      <w:pPr>
        <w:pStyle w:val="BodyText"/>
      </w:pPr>
      <w:r>
        <w:rPr>
          <w:lang w:val="en"/>
        </w:rPr>
        <w:t xml:space="preserve">¶2</w:t>
      </w:r>
      <w:r>
        <w:rPr>
          <w:lang w:val="en"/>
        </w:rPr>
        <w:t xml:space="preserve"> </w:t>
      </w:r>
      <w:r>
        <w:rPr>
          <w:lang w:val="en"/>
        </w:rPr>
        <w:t xml:space="preserve">Note: the “n/a” symbol replaces the double-hyphen form used in some earlier drafts. The double hyphen (</w:t>
      </w:r>
      <w:r>
        <w:rPr>
          <w:rStyle w:val="VerbatimChar"/>
          <w:lang w:val="en"/>
        </w:rPr>
        <w:t xml:space="preserve">--</w:t>
      </w:r>
      <w:r>
        <w:rPr>
          <w:lang w:val="en"/>
        </w:rPr>
        <w:t xml:space="preserve">) is reserved for em-dashes in circular prose.</w:t>
      </w:r>
    </w:p>
    <w:p>
      <w:pPr>
        <w:pStyle w:val="BodyText"/>
      </w:pPr>
      <w:r>
        <w:rPr>
          <w:lang w:val="en"/>
        </w:rPr>
        <w:t xml:space="preserve">¶3</w:t>
      </w:r>
      <w:r>
        <w:rPr>
          <w:lang w:val="en"/>
        </w:rPr>
        <w:t xml:space="preserve"> </w:t>
      </w:r>
      <w:r>
        <w:rPr>
          <w:lang w:val="en"/>
        </w:rPr>
        <w:t xml:space="preserve">When account aggregates are derived from cells carrying different flags, the aggregate should carry the flag of the lowest-quality input (e.g., an aggregate of A and C cells carries flag C). Where the lowest-quality input contributes less than 5% of the aggregate value, compilers may exercise judgement and document the rationale.</w:t>
      </w:r>
    </w:p>
    <w:bookmarkStart w:id="102" w:name="X5869256d73480a2853097df5af6f65c81c6bd63"/>
    <w:p>
      <w:pPr>
        <w:pStyle w:val="Heading3"/>
      </w:pPr>
      <w:r>
        <w:rPr>
          <w:lang w:val="en"/>
        </w:rPr>
        <w:t xml:space="preserve">3.7</w:t>
      </w:r>
      <w:r>
        <w:rPr>
          <w:lang w:val="en"/>
        </w:rPr>
        <w:t xml:space="preserve"> </w:t>
      </w:r>
      <w:r>
        <w:rPr>
          <w:lang w:val="en"/>
        </w:rPr>
        <w:t xml:space="preserve">Quality Improvement Strategies</w:t>
      </w:r>
    </w:p>
    <w:p>
      <w:pPr>
        <w:pStyle w:val="FirstParagraph"/>
      </w:pPr>
      <w:hyperlink w:anchor="X5869256d73480a2853097df5af6f65c81c6bd63">
        <w:r>
          <w:drawing>
            <wp:inline>
              <wp:extent cx="152400" cy="152400"/>
              <wp:effectExtent b="0" l="0" r="0" t="0"/>
              <wp:docPr descr="" title="" id="10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Quality Improvement Strategies”</w:t>
        </w:r>
      </w:hyperlink>
    </w:p>
    <w:bookmarkEnd w:id="102"/>
    <w:p>
      <w:pPr>
        <w:pStyle w:val="BodyText"/>
      </w:pPr>
      <w:r>
        <w:rPr>
          <w:lang w:val="en"/>
        </w:rPr>
        <w:t xml:space="preserve">¶1</w:t>
      </w:r>
      <w:r>
        <w:rPr>
          <w:lang w:val="en"/>
        </w:rPr>
        <w:t xml:space="preserve"> </w:t>
      </w:r>
      <w:r>
        <w:rPr>
          <w:lang w:val="en"/>
        </w:rPr>
        <w:t xml:space="preserve">Table 3.7.1 summarises four complementary strategies for progressive improvement of ocean accounts over time.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Strategy</w:t>
            </w:r>
          </w:p>
        </w:tc>
        <w:tc>
          <w:tcPr/>
          <w:p>
            <w:pPr>
              <w:pStyle w:val="Compact"/>
              <w:jc w:val="left"/>
            </w:pPr>
            <w:r>
              <w:rPr>
                <w:lang w:val="en"/>
              </w:rPr>
              <w:t xml:space="preserve">Key actions</w:t>
            </w:r>
          </w:p>
        </w:tc>
      </w:tr>
      <w:tr>
        <w:tc>
          <w:tcPr/>
          <w:p>
            <w:pPr>
              <w:pStyle w:val="Compact"/>
              <w:jc w:val="left"/>
            </w:pPr>
            <w:r>
              <w:rPr>
                <w:bCs/>
                <w:b/>
                <w:lang w:val="en"/>
              </w:rPr>
              <w:t xml:space="preserve">Prioritised development</w:t>
            </w:r>
          </w:p>
        </w:tc>
        <w:tc>
          <w:tcPr/>
          <w:p>
            <w:pPr>
              <w:pStyle w:val="Compact"/>
              <w:jc w:val="left"/>
            </w:pPr>
            <w:r>
              <w:rPr>
                <w:lang w:val="en"/>
              </w:rPr>
              <w:t xml:space="preserve">Focus initial efforts on highest-priority policy questions; accept provisional estimates where data are limited; build comprehensive accounts progressively.</w:t>
            </w:r>
          </w:p>
        </w:tc>
      </w:tr>
      <w:tr>
        <w:tc>
          <w:tcPr/>
          <w:p>
            <w:pPr>
              <w:pStyle w:val="Compact"/>
              <w:jc w:val="left"/>
            </w:pPr>
            <w:r>
              <w:rPr>
                <w:bCs/>
                <w:b/>
                <w:lang w:val="en"/>
              </w:rPr>
              <w:t xml:space="preserve">User feedback</w:t>
            </w:r>
          </w:p>
        </w:tc>
        <w:tc>
          <w:tcPr/>
          <w:p>
            <w:pPr>
              <w:pStyle w:val="Compact"/>
              <w:jc w:val="left"/>
            </w:pPr>
            <w:r>
              <w:rPr>
                <w:lang w:val="en"/>
              </w:rPr>
              <w:t xml:space="preserve">Engage data users in identifying quality priorities; track how accounts are used in decision-making; respond to user-identified gaps and issues.</w:t>
            </w:r>
          </w:p>
        </w:tc>
      </w:tr>
      <w:tr>
        <w:tc>
          <w:tcPr/>
          <w:p>
            <w:pPr>
              <w:pStyle w:val="Compact"/>
              <w:jc w:val="left"/>
            </w:pPr>
            <w:r>
              <w:rPr>
                <w:bCs/>
                <w:b/>
                <w:lang w:val="en"/>
              </w:rPr>
              <w:t xml:space="preserve">Data source development</w:t>
            </w:r>
          </w:p>
        </w:tc>
        <w:tc>
          <w:tcPr/>
          <w:p>
            <w:pPr>
              <w:pStyle w:val="Compact"/>
              <w:jc w:val="left"/>
            </w:pPr>
            <w:r>
              <w:rPr>
                <w:lang w:val="en"/>
              </w:rPr>
              <w:t xml:space="preserve">Work with data providers to improve underlying data; coordinate timing of surveys and monitoring; invest in new data collection where gaps are critical.</w:t>
            </w:r>
          </w:p>
        </w:tc>
      </w:tr>
      <w:tr>
        <w:tc>
          <w:tcPr/>
          <w:p>
            <w:pPr>
              <w:pStyle w:val="Compact"/>
              <w:jc w:val="left"/>
            </w:pPr>
            <w:r>
              <w:rPr>
                <w:bCs/>
                <w:b/>
                <w:lang w:val="en"/>
              </w:rPr>
              <w:t xml:space="preserve">Method enhancement</w:t>
            </w:r>
          </w:p>
        </w:tc>
        <w:tc>
          <w:tcPr/>
          <w:p>
            <w:pPr>
              <w:pStyle w:val="Compact"/>
              <w:jc w:val="left"/>
            </w:pPr>
            <w:r>
              <w:rPr>
                <w:lang w:val="en"/>
              </w:rPr>
              <w:t xml:space="preserve">Adopt improved methods as they become available; participate in international methodological development; share innovations with other countries.</w:t>
            </w:r>
          </w:p>
        </w:tc>
      </w:tr>
    </w:tbl>
    <w:bookmarkStart w:id="105" w:name="X705d0e5fde92723281bf3d89d133d93d30dcd55"/>
    <w:p>
      <w:pPr>
        <w:pStyle w:val="Heading4"/>
      </w:pPr>
      <w:r>
        <w:rPr>
          <w:lang w:val="en"/>
        </w:rPr>
        <w:t xml:space="preserve">3.7.1</w:t>
      </w:r>
      <w:r>
        <w:rPr>
          <w:lang w:val="en"/>
        </w:rPr>
        <w:t xml:space="preserve"> </w:t>
      </w:r>
      <w:r>
        <w:rPr>
          <w:lang w:val="en"/>
        </w:rPr>
        <w:t xml:space="preserve">Global Consultation on the Technical Guidance</w:t>
      </w:r>
    </w:p>
    <w:p>
      <w:pPr>
        <w:pStyle w:val="FirstParagraph"/>
      </w:pPr>
      <w:hyperlink w:anchor="X705d0e5fde92723281bf3d89d133d93d30dcd55">
        <w:r>
          <w:drawing>
            <wp:inline>
              <wp:extent cx="152400" cy="152400"/>
              <wp:effectExtent b="0" l="0" r="0" t="0"/>
              <wp:docPr descr="" title="" id="1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“3.7.1 Global Consultation on the Technical Guidance”</w:t>
        </w:r>
      </w:hyperlink>
    </w:p>
    <w:bookmarkEnd w:id="105"/>
    <w:p>
      <w:pPr>
        <w:pStyle w:val="BodyText"/>
      </w:pPr>
      <w:r>
        <w:rPr>
          <w:lang w:val="en"/>
        </w:rPr>
        <w:t xml:space="preserve">¶1</w:t>
      </w:r>
      <w:r>
        <w:rPr>
          <w:lang w:val="en"/>
        </w:rPr>
        <w:t xml:space="preserve"> </w:t>
      </w:r>
      <w:r>
        <w:rPr>
          <w:lang w:val="en"/>
        </w:rPr>
        <w:t xml:space="preserve">The quality improvement strategies above apply to the ocean accounts that countries compile. The GOAP Technical Guidance itself is subject to an equivalent quality assurance process: each circular is developed and published through a structured Circular Review and Global Consultation that applies the same principles of transparency, attribution, and documentation set out in Section 3.5 to the guidance documents. A circular passes through five phases over approximately eleven weeks (Table 3.7.2).</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Phase</w:t>
            </w:r>
          </w:p>
        </w:tc>
        <w:tc>
          <w:tcPr/>
          <w:p>
            <w:pPr>
              <w:pStyle w:val="Compact"/>
              <w:jc w:val="left"/>
            </w:pPr>
            <w:r>
              <w:rPr>
                <w:lang w:val="en"/>
              </w:rPr>
              <w:t xml:space="preserve">Timing</w:t>
            </w:r>
          </w:p>
        </w:tc>
        <w:tc>
          <w:tcPr/>
          <w:p>
            <w:pPr>
              <w:pStyle w:val="Compact"/>
              <w:jc w:val="left"/>
            </w:pPr>
            <w:r>
              <w:rPr>
                <w:lang w:val="en"/>
              </w:rPr>
              <w:t xml:space="preserve">Activities</w:t>
            </w:r>
          </w:p>
        </w:tc>
      </w:tr>
      <w:tr>
        <w:tc>
          <w:tcPr/>
          <w:p>
            <w:pPr>
              <w:pStyle w:val="Compact"/>
              <w:jc w:val="left"/>
            </w:pPr>
            <w:r>
              <w:rPr>
                <w:bCs/>
                <w:b/>
                <w:lang w:val="en"/>
              </w:rPr>
              <w:t xml:space="preserve">1 — Draft</w:t>
            </w:r>
          </w:p>
        </w:tc>
        <w:tc>
          <w:tcPr/>
          <w:p>
            <w:pPr>
              <w:pStyle w:val="Compact"/>
              <w:jc w:val="left"/>
            </w:pPr>
            <w:r>
              <w:rPr>
                <w:lang w:val="en"/>
              </w:rPr>
              <w:t xml:space="preserve">Weeks 1—3</w:t>
            </w:r>
          </w:p>
        </w:tc>
        <w:tc>
          <w:tcPr/>
          <w:p>
            <w:pPr>
              <w:pStyle w:val="Compact"/>
              <w:jc w:val="left"/>
            </w:pPr>
            <w:r>
              <w:rPr>
                <w:lang w:val="en"/>
              </w:rPr>
              <w:t xml:space="preserve">A lead author prepares the draft and completes a self-check against the style guide and these quality assurance principles.</w:t>
            </w:r>
          </w:p>
        </w:tc>
      </w:tr>
      <w:tr>
        <w:tc>
          <w:tcPr/>
          <w:p>
            <w:pPr>
              <w:pStyle w:val="Compact"/>
              <w:jc w:val="left"/>
            </w:pPr>
            <w:r>
              <w:rPr>
                <w:bCs/>
                <w:b/>
                <w:lang w:val="en"/>
              </w:rPr>
              <w:t xml:space="preserve">2 — Review</w:t>
            </w:r>
          </w:p>
        </w:tc>
        <w:tc>
          <w:tcPr/>
          <w:p>
            <w:pPr>
              <w:pStyle w:val="Compact"/>
              <w:jc w:val="left"/>
            </w:pPr>
            <w:r>
              <w:rPr>
                <w:lang w:val="en"/>
              </w:rPr>
              <w:t xml:space="preserve">Weeks 4—5</w:t>
            </w:r>
          </w:p>
        </w:tc>
        <w:tc>
          <w:tcPr/>
          <w:p>
            <w:pPr>
              <w:pStyle w:val="Compact"/>
              <w:jc w:val="left"/>
            </w:pPr>
            <w:r>
              <w:rPr>
                <w:lang w:val="en"/>
              </w:rPr>
              <w:t xml:space="preserve">A panel of three to five subject reviewers assesses the draft and produces a consolidated review summary.</w:t>
            </w:r>
          </w:p>
        </w:tc>
      </w:tr>
      <w:tr>
        <w:tc>
          <w:tcPr/>
          <w:p>
            <w:pPr>
              <w:pStyle w:val="Compact"/>
              <w:jc w:val="left"/>
            </w:pPr>
            <w:r>
              <w:rPr>
                <w:bCs/>
                <w:b/>
                <w:lang w:val="en"/>
              </w:rPr>
              <w:t xml:space="preserve">3 — Comment</w:t>
            </w:r>
          </w:p>
        </w:tc>
        <w:tc>
          <w:tcPr/>
          <w:p>
            <w:pPr>
              <w:pStyle w:val="Compact"/>
              <w:jc w:val="left"/>
            </w:pPr>
            <w:r>
              <w:rPr>
                <w:lang w:val="en"/>
              </w:rPr>
              <w:t xml:space="preserve">Weeks 6—8</w:t>
            </w:r>
          </w:p>
        </w:tc>
        <w:tc>
          <w:tcPr/>
          <w:p>
            <w:pPr>
              <w:pStyle w:val="Compact"/>
              <w:jc w:val="left"/>
            </w:pPr>
            <w:r>
              <w:rPr>
                <w:lang w:val="en"/>
              </w:rPr>
              <w:t xml:space="preserve">The draft is published for open global consultation. Any reader may select a passage and submit a line-anchored comment, tagged by type, optionally proposing an alternative, and attributed to the contributor. Comments are debated through threaded replies with status tags within a time-boxed window, and the lead author responds. A decision gate then checks whether all comments are resolved: unresolved items return to the author, whilst resolved drafts pass to the Secretariat.</w:t>
            </w:r>
          </w:p>
        </w:tc>
      </w:tr>
      <w:tr>
        <w:tc>
          <w:tcPr/>
          <w:p>
            <w:pPr>
              <w:pStyle w:val="Compact"/>
              <w:jc w:val="left"/>
            </w:pPr>
            <w:r>
              <w:rPr>
                <w:bCs/>
                <w:b/>
                <w:lang w:val="en"/>
              </w:rPr>
              <w:t xml:space="preserve">4 — Finalise</w:t>
            </w:r>
          </w:p>
        </w:tc>
        <w:tc>
          <w:tcPr/>
          <w:p>
            <w:pPr>
              <w:pStyle w:val="Compact"/>
              <w:jc w:val="left"/>
            </w:pPr>
            <w:r>
              <w:rPr>
                <w:lang w:val="en"/>
              </w:rPr>
              <w:t xml:space="preserve">Weeks 9—10</w:t>
            </w:r>
          </w:p>
        </w:tc>
        <w:tc>
          <w:tcPr/>
          <w:p>
            <w:pPr>
              <w:pStyle w:val="Compact"/>
              <w:jc w:val="left"/>
            </w:pPr>
            <w:r>
              <w:rPr>
                <w:lang w:val="en"/>
              </w:rPr>
              <w:t xml:space="preserve">The Secretariat adjudicates outstanding comments, finalises the text, and locks the version.</w:t>
            </w:r>
          </w:p>
        </w:tc>
      </w:tr>
      <w:tr>
        <w:tc>
          <w:tcPr/>
          <w:p>
            <w:pPr>
              <w:pStyle w:val="Compact"/>
              <w:jc w:val="left"/>
            </w:pPr>
            <w:r>
              <w:rPr>
                <w:bCs/>
                <w:b/>
                <w:lang w:val="en"/>
              </w:rPr>
              <w:t xml:space="preserve">5 — Release</w:t>
            </w:r>
          </w:p>
        </w:tc>
        <w:tc>
          <w:tcPr/>
          <w:p>
            <w:pPr>
              <w:pStyle w:val="Compact"/>
              <w:jc w:val="left"/>
            </w:pPr>
            <w:r>
              <w:rPr>
                <w:lang w:val="en"/>
              </w:rPr>
              <w:t xml:space="preserve">Week 11</w:t>
            </w:r>
          </w:p>
        </w:tc>
        <w:tc>
          <w:tcPr/>
          <w:p>
            <w:pPr>
              <w:pStyle w:val="Compact"/>
              <w:jc w:val="left"/>
            </w:pPr>
            <w:r>
              <w:rPr>
                <w:lang w:val="en"/>
              </w:rPr>
              <w:t xml:space="preserve">Contributors are credited, the circular is published, and the comment record is archived.</w:t>
            </w:r>
          </w:p>
        </w:tc>
      </w:tr>
    </w:tbl>
    <w:p>
      <w:pPr>
        <w:pStyle w:val="BodyText"/>
      </w:pPr>
      <w:r>
        <w:rPr>
          <w:lang w:val="en"/>
        </w:rPr>
        <w:t xml:space="preserve">¶2</w:t>
      </w:r>
      <w:r>
        <w:rPr>
          <w:lang w:val="en"/>
        </w:rPr>
        <w:t xml:space="preserve"> </w:t>
      </w:r>
      <w:r>
        <w:rPr>
          <w:lang w:val="en"/>
        </w:rPr>
        <w:t xml:space="preserve">Four roles carry the process: the lead author (drafts and responds to comments), the review panel (reviews and summarises), a moderator (routes comments and escalates unresolved items), and the Secretariat (adjudicates, finalises, and publishes). The consultation is conducted openly. Comments are publicly visible while the window is open, and the full comment record is retained as a public archive (logged to an annex of the circular). Escalations are logged, and any rejected suggestion is accompanied by a documented justification. Draft circulars open for consultation are presented with an inline commenting overlay that lets readers select text and submit feedback directly on the page (see, for example, the</w:t>
      </w:r>
      <w:r>
        <w:rPr>
          <w:lang w:val="en"/>
        </w:rPr>
        <w:t xml:space="preserve"> </w:t>
      </w:r>
      <w:hyperlink r:id="rId36">
        <w:r>
          <w:rPr>
            <w:rStyle w:val="Hyperlink"/>
            <w:lang w:val="en"/>
          </w:rPr>
          <w:t xml:space="preserve">TG-0.2 consultation page</w:t>
        </w:r>
      </w:hyperlink>
      <w:r>
        <w:rPr>
          <w:lang w:val="en"/>
        </w:rPr>
        <w:t xml:space="preserve">).</w:t>
      </w:r>
    </w:p>
    <w:bookmarkStart w:id="108" w:name="X085f75c773f4bbd708a5d711237dfe1622e8037"/>
    <w:p>
      <w:pPr>
        <w:pStyle w:val="Heading3"/>
      </w:pPr>
      <w:r>
        <w:rPr>
          <w:lang w:val="en"/>
        </w:rPr>
        <w:t xml:space="preserve">3.8</w:t>
      </w:r>
      <w:r>
        <w:rPr>
          <w:lang w:val="en"/>
        </w:rPr>
        <w:t xml:space="preserve"> </w:t>
      </w:r>
      <w:r>
        <w:rPr>
          <w:lang w:val="en"/>
        </w:rPr>
        <w:t xml:space="preserve">Tiered Implementation Frameworks</w:t>
      </w:r>
    </w:p>
    <w:p>
      <w:pPr>
        <w:pStyle w:val="FirstParagraph"/>
      </w:pPr>
      <w:hyperlink w:anchor="X085f75c773f4bbd708a5d711237dfe1622e8037">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Tiered Implementation Frameworks”</w:t>
        </w:r>
      </w:hyperlink>
    </w:p>
    <w:bookmarkEnd w:id="108"/>
    <w:p>
      <w:pPr>
        <w:pStyle w:val="BodyText"/>
      </w:pPr>
      <w:r>
        <w:rPr>
          <w:lang w:val="en"/>
        </w:rPr>
        <w:t xml:space="preserve">¶1</w:t>
      </w:r>
      <w:r>
        <w:rPr>
          <w:lang w:val="en"/>
        </w:rPr>
        <w:t xml:space="preserve"> </w:t>
      </w:r>
      <w:r>
        <w:rPr>
          <w:lang w:val="en"/>
        </w:rPr>
        <w:t xml:space="preserve">Throughout the GOAP Technical Guidance, tiered implementation frameworks are used to indicate graduated approaches calibrated to available data and institutional capacity. Tier designations are circular-specific, as each circular defines the tiers appropriate to its subject matter. In all cases Tier 1 represents the minimum viable approach, whilst higher tiers represent more rigorous methods requiring greater capacity or data availability. Compilers should select the tier consistent with their data availability and intended account use, and may progress to higher tiers as capacity develops.</w:t>
      </w:r>
    </w:p>
    <w:bookmarkStart w:id="111" w:name="X2884ba53178f6893f007fb22e50a90049f07cc2"/>
    <w:p>
      <w:pPr>
        <w:pStyle w:val="Heading3"/>
      </w:pPr>
      <w:r>
        <w:rPr>
          <w:lang w:val="en"/>
        </w:rPr>
        <w:t xml:space="preserve">3.9</w:t>
      </w:r>
      <w:r>
        <w:rPr>
          <w:lang w:val="en"/>
        </w:rPr>
        <w:t xml:space="preserve"> </w:t>
      </w:r>
      <w:r>
        <w:rPr>
          <w:lang w:val="en"/>
        </w:rPr>
        <w:t xml:space="preserve">Circular-Specific QA Guidance</w:t>
      </w:r>
    </w:p>
    <w:p>
      <w:pPr>
        <w:pStyle w:val="FirstParagraph"/>
      </w:pPr>
      <w:hyperlink w:anchor="X2884ba53178f6893f007fb22e50a90049f07cc2">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“3.9 Circular-Specific QA Guidance”</w:t>
        </w:r>
      </w:hyperlink>
    </w:p>
    <w:bookmarkEnd w:id="111"/>
    <w:p>
      <w:pPr>
        <w:pStyle w:val="BodyText"/>
      </w:pPr>
      <w:r>
        <w:rPr>
          <w:lang w:val="en"/>
        </w:rPr>
        <w:t xml:space="preserve">¶1</w:t>
      </w:r>
      <w:r>
        <w:rPr>
          <w:lang w:val="en"/>
        </w:rPr>
        <w:t xml:space="preserve"> </w:t>
      </w:r>
      <w:r>
        <w:rPr>
          <w:lang w:val="en"/>
        </w:rPr>
        <w:t xml:space="preserve">Table 3.9.1 maps circulars in Sections 3 and 4 to the quality assurance focus of their topic. TG-4.1 to TG-4.6 each include a section on data quality or quality assurance. TG-3.1 to TG-3.5 and TG-4.7 have no dedicated quality assurance section (TG-3.5 discusses uncertainties and risks in its Section 5); for these topics, the principles in this Circular apply directly.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Circular</w:t>
            </w:r>
          </w:p>
        </w:tc>
        <w:tc>
          <w:tcPr/>
          <w:p>
            <w:pPr>
              <w:pStyle w:val="Compact"/>
              <w:jc w:val="left"/>
            </w:pPr>
            <w:r>
              <w:rPr>
                <w:lang w:val="en"/>
              </w:rPr>
              <w:t xml:space="preserve">QA focus</w:t>
            </w:r>
          </w:p>
        </w:tc>
      </w:tr>
      <w:tr>
        <w:tc>
          <w:tcPr/>
          <w:p>
            <w:pPr>
              <w:pStyle w:val="Compact"/>
              <w:jc w:val="left"/>
            </w:pPr>
            <w:hyperlink r:id="rId112">
              <w:r>
                <w:rPr>
                  <w:rStyle w:val="Hyperlink"/>
                  <w:lang w:val="en"/>
                </w:rPr>
                <w:t xml:space="preserve">TG-3.1 Asset accounts</w:t>
              </w:r>
            </w:hyperlink>
          </w:p>
        </w:tc>
        <w:tc>
          <w:tcPr/>
          <w:p>
            <w:pPr>
              <w:pStyle w:val="Compact"/>
              <w:jc w:val="left"/>
            </w:pPr>
            <w:r>
              <w:rPr>
                <w:lang w:val="en"/>
              </w:rPr>
              <w:t xml:space="preserve">Stock measurements</w:t>
            </w:r>
          </w:p>
        </w:tc>
      </w:tr>
      <w:tr>
        <w:tc>
          <w:tcPr/>
          <w:p>
            <w:pPr>
              <w:pStyle w:val="Compact"/>
              <w:jc w:val="left"/>
            </w:pPr>
            <w:hyperlink r:id="rId113">
              <w:r>
                <w:rPr>
                  <w:rStyle w:val="Hyperlink"/>
                  <w:lang w:val="en"/>
                </w:rPr>
                <w:t xml:space="preserve">TG-3.2 Flows from environment to economy</w:t>
              </w:r>
            </w:hyperlink>
          </w:p>
        </w:tc>
        <w:tc>
          <w:tcPr/>
          <w:p>
            <w:pPr>
              <w:pStyle w:val="Compact"/>
              <w:jc w:val="left"/>
            </w:pPr>
            <w:r>
              <w:rPr>
                <w:lang w:val="en"/>
              </w:rPr>
              <w:t xml:space="preserve">Ecosystem service flows</w:t>
            </w:r>
          </w:p>
        </w:tc>
      </w:tr>
      <w:tr>
        <w:tc>
          <w:tcPr/>
          <w:p>
            <w:pPr>
              <w:pStyle w:val="Compact"/>
              <w:jc w:val="left"/>
            </w:pPr>
            <w:hyperlink r:id="rId114">
              <w:r>
                <w:rPr>
                  <w:rStyle w:val="Hyperlink"/>
                  <w:lang w:val="en"/>
                </w:rPr>
                <w:t xml:space="preserve">TG-3.3 Economic activity</w:t>
              </w:r>
            </w:hyperlink>
          </w:p>
        </w:tc>
        <w:tc>
          <w:tcPr/>
          <w:p>
            <w:pPr>
              <w:pStyle w:val="Compact"/>
              <w:jc w:val="left"/>
            </w:pPr>
            <w:r>
              <w:rPr>
                <w:lang w:val="en"/>
              </w:rPr>
              <w:t xml:space="preserve">Ocean economy statistics</w:t>
            </w:r>
          </w:p>
        </w:tc>
      </w:tr>
      <w:tr>
        <w:tc>
          <w:tcPr/>
          <w:p>
            <w:pPr>
              <w:pStyle w:val="Compact"/>
              <w:jc w:val="left"/>
            </w:pPr>
            <w:hyperlink r:id="rId115">
              <w:r>
                <w:rPr>
                  <w:rStyle w:val="Hyperlink"/>
                  <w:lang w:val="en"/>
                </w:rPr>
                <w:t xml:space="preserve">TG-3.4 Flows from economy to environment</w:t>
              </w:r>
            </w:hyperlink>
          </w:p>
        </w:tc>
        <w:tc>
          <w:tcPr/>
          <w:p>
            <w:pPr>
              <w:pStyle w:val="Compact"/>
              <w:jc w:val="left"/>
            </w:pPr>
            <w:r>
              <w:rPr>
                <w:lang w:val="en"/>
              </w:rPr>
              <w:t xml:space="preserve">Pressure data</w:t>
            </w:r>
          </w:p>
        </w:tc>
      </w:tr>
      <w:tr>
        <w:tc>
          <w:tcPr/>
          <w:p>
            <w:pPr>
              <w:pStyle w:val="Compact"/>
              <w:jc w:val="left"/>
            </w:pPr>
            <w:hyperlink r:id="rId116">
              <w:r>
                <w:rPr>
                  <w:rStyle w:val="Hyperlink"/>
                  <w:lang w:val="en"/>
                </w:rPr>
                <w:t xml:space="preserve">TG-3.5 Social accounts</w:t>
              </w:r>
            </w:hyperlink>
          </w:p>
        </w:tc>
        <w:tc>
          <w:tcPr/>
          <w:p>
            <w:pPr>
              <w:pStyle w:val="Compact"/>
              <w:jc w:val="left"/>
            </w:pPr>
            <w:r>
              <w:rPr>
                <w:lang w:val="en"/>
              </w:rPr>
              <w:t xml:space="preserve">Social indicators</w:t>
            </w:r>
          </w:p>
        </w:tc>
      </w:tr>
      <w:tr>
        <w:tc>
          <w:tcPr/>
          <w:p>
            <w:pPr>
              <w:pStyle w:val="Compact"/>
              <w:jc w:val="left"/>
            </w:pPr>
            <w:hyperlink r:id="rId117">
              <w:r>
                <w:rPr>
                  <w:rStyle w:val="Hyperlink"/>
                  <w:lang w:val="en"/>
                </w:rPr>
                <w:t xml:space="preserve">TG-4.1 Remote sensing</w:t>
              </w:r>
            </w:hyperlink>
          </w:p>
        </w:tc>
        <w:tc>
          <w:tcPr/>
          <w:p>
            <w:pPr>
              <w:pStyle w:val="Compact"/>
              <w:jc w:val="left"/>
            </w:pPr>
            <w:r>
              <w:rPr>
                <w:lang w:val="en"/>
              </w:rPr>
              <w:t xml:space="preserve">Geospatial data</w:t>
            </w:r>
          </w:p>
        </w:tc>
      </w:tr>
      <w:tr>
        <w:tc>
          <w:tcPr/>
          <w:p>
            <w:pPr>
              <w:pStyle w:val="Compact"/>
              <w:jc w:val="left"/>
            </w:pPr>
            <w:hyperlink r:id="rId118">
              <w:r>
                <w:rPr>
                  <w:rStyle w:val="Hyperlink"/>
                  <w:lang w:val="en"/>
                </w:rPr>
                <w:t xml:space="preserve">TG-4.2 Survey methods</w:t>
              </w:r>
            </w:hyperlink>
          </w:p>
        </w:tc>
        <w:tc>
          <w:tcPr/>
          <w:p>
            <w:pPr>
              <w:pStyle w:val="Compact"/>
              <w:jc w:val="left"/>
            </w:pPr>
            <w:r>
              <w:rPr>
                <w:lang w:val="en"/>
              </w:rPr>
              <w:t xml:space="preserve">Survey-based data</w:t>
            </w:r>
          </w:p>
        </w:tc>
      </w:tr>
      <w:tr>
        <w:tc>
          <w:tcPr/>
          <w:p>
            <w:pPr>
              <w:pStyle w:val="Compact"/>
              <w:jc w:val="left"/>
            </w:pPr>
            <w:hyperlink r:id="rId119">
              <w:r>
                <w:rPr>
                  <w:rStyle w:val="Hyperlink"/>
                  <w:lang w:val="en"/>
                </w:rPr>
                <w:t xml:space="preserve">TG-4.3 Administrative data</w:t>
              </w:r>
            </w:hyperlink>
          </w:p>
        </w:tc>
        <w:tc>
          <w:tcPr/>
          <w:p>
            <w:pPr>
              <w:pStyle w:val="Compact"/>
              <w:jc w:val="left"/>
            </w:pPr>
            <w:r>
              <w:rPr>
                <w:lang w:val="en"/>
              </w:rPr>
              <w:t xml:space="preserve">Administrative sources</w:t>
            </w:r>
          </w:p>
        </w:tc>
      </w:tr>
      <w:tr>
        <w:tc>
          <w:tcPr/>
          <w:p>
            <w:pPr>
              <w:pStyle w:val="Compact"/>
              <w:jc w:val="left"/>
            </w:pPr>
            <w:hyperlink r:id="rId120">
              <w:r>
                <w:rPr>
                  <w:rStyle w:val="Hyperlink"/>
                  <w:lang w:val="en"/>
                </w:rPr>
                <w:t xml:space="preserve">TG-4.4 Citizen science</w:t>
              </w:r>
            </w:hyperlink>
          </w:p>
        </w:tc>
        <w:tc>
          <w:tcPr/>
          <w:p>
            <w:pPr>
              <w:pStyle w:val="Compact"/>
              <w:jc w:val="left"/>
            </w:pPr>
            <w:r>
              <w:rPr>
                <w:lang w:val="en"/>
              </w:rPr>
              <w:t xml:space="preserve">Community-based monitoring data</w:t>
            </w:r>
          </w:p>
        </w:tc>
      </w:tr>
      <w:tr>
        <w:tc>
          <w:tcPr/>
          <w:p>
            <w:pPr>
              <w:pStyle w:val="Compact"/>
              <w:jc w:val="left"/>
            </w:pPr>
            <w:hyperlink r:id="rId121">
              <w:r>
                <w:rPr>
                  <w:rStyle w:val="Hyperlink"/>
                  <w:lang w:val="en"/>
                </w:rPr>
                <w:t xml:space="preserve">TG-4.5 Research data</w:t>
              </w:r>
            </w:hyperlink>
          </w:p>
        </w:tc>
        <w:tc>
          <w:tcPr/>
          <w:p>
            <w:pPr>
              <w:pStyle w:val="Compact"/>
              <w:jc w:val="left"/>
            </w:pPr>
            <w:r>
              <w:rPr>
                <w:lang w:val="en"/>
              </w:rPr>
              <w:t xml:space="preserve">Integrating research data into official statistics</w:t>
            </w:r>
          </w:p>
        </w:tc>
      </w:tr>
      <w:tr>
        <w:tc>
          <w:tcPr/>
          <w:p>
            <w:pPr>
              <w:pStyle w:val="Compact"/>
              <w:jc w:val="left"/>
            </w:pPr>
            <w:hyperlink r:id="rId122">
              <w:r>
                <w:rPr>
                  <w:rStyle w:val="Hyperlink"/>
                  <w:lang w:val="en"/>
                </w:rPr>
                <w:t xml:space="preserve">TG-4.6 Data harmonisation</w:t>
              </w:r>
            </w:hyperlink>
          </w:p>
        </w:tc>
        <w:tc>
          <w:tcPr/>
          <w:p>
            <w:pPr>
              <w:pStyle w:val="Compact"/>
              <w:jc w:val="left"/>
            </w:pPr>
            <w:r>
              <w:rPr>
                <w:lang w:val="en"/>
              </w:rPr>
              <w:t xml:space="preserve">Data harmonisation and interoperability</w:t>
            </w:r>
          </w:p>
        </w:tc>
      </w:tr>
      <w:tr>
        <w:tc>
          <w:tcPr/>
          <w:p>
            <w:pPr>
              <w:pStyle w:val="Compact"/>
              <w:jc w:val="left"/>
            </w:pPr>
            <w:hyperlink r:id="rId123">
              <w:r>
                <w:rPr>
                  <w:rStyle w:val="Hyperlink"/>
                  <w:lang w:val="en"/>
                </w:rPr>
                <w:t xml:space="preserve">TG-4.7 Data coordination</w:t>
              </w:r>
            </w:hyperlink>
          </w:p>
        </w:tc>
        <w:tc>
          <w:tcPr/>
          <w:p>
            <w:pPr>
              <w:pStyle w:val="Compact"/>
              <w:jc w:val="left"/>
            </w:pPr>
            <w:r>
              <w:rPr>
                <w:lang w:val="en"/>
              </w:rPr>
              <w:t xml:space="preserve">National data coordination architectures</w:t>
            </w:r>
          </w:p>
        </w:tc>
      </w:tr>
    </w:tbl>
    <w:bookmarkStart w:id="126"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26"/>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p>
      <w:pPr>
        <w:pStyle w:val="BodyText"/>
      </w:pPr>
      <w:r>
        <w:rPr>
          <w:lang w:val="en"/>
        </w:rPr>
        <w:t xml:space="preserve">¶3</w:t>
      </w:r>
      <w:r>
        <w:rPr>
          <w:lang w:val="en"/>
        </w:rPr>
        <w:t xml:space="preserve"> </w:t>
      </w:r>
      <w:r>
        <w:rPr>
          <w:lang w:val="en"/>
        </w:rPr>
        <w:t xml:space="preserve">This circular draws on quality assurance frameworks from the SEEA EA (Chapter 2), the UN Fundamental Principles of Official Statistics, and the Generic Statistical Business Process Model (GSBPM).</w:t>
      </w:r>
    </w:p>
    <w:bookmarkStart w:id="129"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29"/>
    <w:p>
      <w:pPr>
        <w:numPr>
          <w:ilvl w:val="0"/>
          <w:numId w:val="1024"/>
        </w:numPr>
      </w:pPr>
      <w:r>
        <w:rPr>
          <w:lang w:val="en"/>
        </w:rPr>
        <w:t xml:space="preserve">¶1</w:t>
      </w:r>
      <w:r>
        <w:rPr>
          <w:lang w:val="en"/>
        </w:rPr>
        <w:t xml:space="preserve"> </w:t>
      </w:r>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Chapter 2: Principles of ecosystem accounting. Paragraphs 2.86-2.95.</w:t>
      </w:r>
    </w:p>
    <w:p>
      <w:pPr>
        <w:numPr>
          <w:ilvl w:val="0"/>
          <w:numId w:val="1024"/>
        </w:numPr>
      </w:pPr>
      <w:r>
        <w:rPr>
          <w:lang w:val="en"/>
        </w:rPr>
        <w:t xml:space="preserve">¶2</w:t>
      </w:r>
      <w:r>
        <w:rPr>
          <w:lang w:val="en"/>
        </w:rPr>
        <w:t xml:space="preserve"> </w:t>
      </w:r>
    </w:p>
    <w:p>
      <w:pPr>
        <w:numPr>
          <w:ilvl w:val="0"/>
          <w:numId w:val="1000"/>
        </w:numPr>
      </w:pPr>
      <w:r>
        <w:rPr>
          <w:lang w:val="en"/>
        </w:rPr>
        <w:t xml:space="preserve">United Nations Economic and Social Council. (2013). Resolution 2013/21: Fundamental Principles of Official Statistics.</w:t>
      </w:r>
    </w:p>
    <w:p>
      <w:pPr>
        <w:numPr>
          <w:ilvl w:val="0"/>
          <w:numId w:val="1024"/>
        </w:numPr>
      </w:pPr>
      <w:r>
        <w:rPr>
          <w:lang w:val="en"/>
        </w:rPr>
        <w:t xml:space="preserve">¶3</w:t>
      </w:r>
      <w:r>
        <w:rPr>
          <w:lang w:val="en"/>
        </w:rPr>
        <w:t xml:space="preserve"> </w:t>
      </w:r>
    </w:p>
    <w:p>
      <w:pPr>
        <w:numPr>
          <w:ilvl w:val="0"/>
          <w:numId w:val="1000"/>
        </w:numPr>
      </w:pPr>
      <w:r>
        <w:rPr>
          <w:lang w:val="en"/>
        </w:rPr>
        <w:t xml:space="preserve">UNECE. (2025).</w:t>
      </w:r>
      <w:r>
        <w:rPr>
          <w:lang w:val="en"/>
        </w:rPr>
        <w:t xml:space="preserve"> </w:t>
      </w:r>
      <w:r>
        <w:rPr>
          <w:iCs/>
          <w:i/>
          <w:lang w:val="en"/>
        </w:rPr>
        <w:t xml:space="preserve">Generic Statistical Business Process Model (GSBPM)</w:t>
      </w:r>
      <w:r>
        <w:rPr>
          <w:lang w:val="en"/>
        </w:rPr>
        <w:t xml:space="preserve">, Version 5.2.</w:t>
      </w:r>
    </w:p>
    <w:p>
      <w:pPr>
        <w:numPr>
          <w:ilvl w:val="0"/>
          <w:numId w:val="1024"/>
        </w:numPr>
      </w:pPr>
      <w:r>
        <w:rPr>
          <w:lang w:val="en"/>
        </w:rPr>
        <w:t xml:space="preserve">¶4</w:t>
      </w:r>
      <w:r>
        <w:rPr>
          <w:lang w:val="en"/>
        </w:rPr>
        <w:t xml:space="preserve"> </w:t>
      </w:r>
    </w:p>
    <w:p>
      <w:pPr>
        <w:numPr>
          <w:ilvl w:val="0"/>
          <w:numId w:val="1000"/>
        </w:numPr>
      </w:pPr>
      <w:r>
        <w:rPr>
          <w:lang w:val="en"/>
        </w:rPr>
        <w:t xml:space="preserve">SEEA. (2022).</w:t>
      </w:r>
      <w:r>
        <w:rPr>
          <w:lang w:val="en"/>
        </w:rPr>
        <w:t xml:space="preserve"> </w:t>
      </w:r>
      <w:r>
        <w:rPr>
          <w:iCs/>
          <w:i/>
          <w:lang w:val="en"/>
        </w:rPr>
        <w:t xml:space="preserve">SEEA Ecosystem Accounting Glossary</w:t>
      </w:r>
      <w:r>
        <w:rPr>
          <w:lang w:val="en"/>
        </w:rPr>
        <w:t xml:space="preserve">.</w:t>
      </w:r>
    </w:p>
    <w:bookmarkStart w:id="132"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1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132"/>
    <w:p>
      <w:pPr>
        <w:numPr>
          <w:ilvl w:val="0"/>
          <w:numId w:val="1025"/>
        </w:numPr>
      </w:pPr>
      <w:bookmarkStart w:id="133" w:name="user-content-fn-1"/>
      <w:r>
        <w:rPr>
          <w:lang w:val="en"/>
        </w:rPr>
        <w:t xml:space="preserve">¶1</w:t>
      </w:r>
      <w:r>
        <w:rPr>
          <w:lang w:val="en"/>
        </w:rPr>
        <w:t xml:space="preserve"> </w:t>
      </w:r>
      <w:bookmarkEnd w:id="133"/>
    </w:p>
    <w:p>
      <w:pPr>
        <w:numPr>
          <w:ilvl w:val="0"/>
          <w:numId w:val="1000"/>
        </w:numPr>
      </w:pPr>
      <w:r>
        <w:rPr>
          <w:lang w:val="en"/>
        </w:rPr>
        <w:t xml:space="preserve">CICES V5.2 is available at</w:t>
      </w:r>
      <w:r>
        <w:rPr>
          <w:lang w:val="en"/>
        </w:rPr>
        <w:t xml:space="preserve"> </w:t>
      </w:r>
      <w:hyperlink r:id="rId134">
        <w:r>
          <w:rPr>
            <w:rStyle w:val="Hyperlink"/>
            <w:lang w:val="en"/>
          </w:rPr>
          <w:t xml:space="preserve">https://cices.eu</w:t>
        </w:r>
      </w:hyperlink>
      <w:r>
        <w:rPr>
          <w:lang w:val="en"/>
        </w:rPr>
        <w:t xml:space="preserve">. The SEEA EA Reference List of Ecosystem Services appears in SEEA EA Annex 6.1 and is the standard classification for SEEA ecosystem accounts.</w:t>
      </w:r>
      <w:r>
        <w:rPr>
          <w:lang w:val="en"/>
        </w:rPr>
        <w:t xml:space="preserve"> </w:t>
      </w:r>
      <w:hyperlink w:anchor="user-content-fnref-1">
        <w:r>
          <w:rPr>
            <w:rStyle w:val="Hyperlink"/>
            <w:lang w:val="en"/>
          </w:rPr>
          <w:t xml:space="preserve">↩</w:t>
        </w:r>
      </w:hyperlink>
    </w:p>
    <w:p>
      <w:pPr>
        <w:numPr>
          <w:ilvl w:val="0"/>
          <w:numId w:val="1025"/>
        </w:numPr>
      </w:pPr>
      <w:bookmarkStart w:id="135" w:name="user-content-fn-2"/>
      <w:r>
        <w:rPr>
          <w:lang w:val="en"/>
        </w:rPr>
        <w:t xml:space="preserve">¶2</w:t>
      </w:r>
      <w:r>
        <w:rPr>
          <w:lang w:val="en"/>
        </w:rPr>
        <w:t xml:space="preserve"> </w:t>
      </w:r>
      <w:bookmarkEnd w:id="135"/>
    </w:p>
    <w:p>
      <w:pPr>
        <w:numPr>
          <w:ilvl w:val="0"/>
          <w:numId w:val="1000"/>
        </w:numPr>
      </w:pPr>
      <w:r>
        <w:rPr>
          <w:lang w:val="en"/>
        </w:rPr>
        <w:t xml:space="preserve">The four categories correspond to SEEA EA paras. 2.91 (physical measurement), 2.92 (valuation), 2.93 (ecosystem dynamics), and 2.94 (future prices and values) respectively.</w:t>
      </w:r>
      <w:r>
        <w:rPr>
          <w:lang w:val="en"/>
        </w:rPr>
        <w:t xml:space="preserve"> </w:t>
      </w:r>
      <w:hyperlink w:anchor="user-content-fnref-2">
        <w:r>
          <w:rPr>
            <w:rStyle w:val="Hyperlink"/>
            <w:lang w:val="en"/>
          </w:rPr>
          <w:t xml:space="preserve">↩</w:t>
        </w:r>
      </w:hyperlink>
    </w:p>
    <w:bookmarkStart w:id="136" w:name="tg-peek-card"/>
    <w:bookmarkEnd w:id="1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134" Target="https://cices.eu" TargetMode="External" /><Relationship Type="http://schemas.openxmlformats.org/officeDocument/2006/relationships/hyperlink" Id="rId27" Target="https://creativecommons.org/licenses/by-nc/4.0/" TargetMode="External" /><Relationship Type="http://schemas.openxmlformats.org/officeDocument/2006/relationships/hyperlink" Id="rId35" Target="https://guidance.oceanaccounts.org/circulars/section-0/0-1-general-introduction" TargetMode="External" /><Relationship Type="http://schemas.openxmlformats.org/officeDocument/2006/relationships/hyperlink" Id="rId36" Target="https://guidance.oceanaccounts.org/circulars/section-0/0-2-standards-overview" TargetMode="External" /><Relationship Type="http://schemas.openxmlformats.org/officeDocument/2006/relationships/hyperlink" Id="rId112" Target="https://guidance.oceanaccounts.org/circulars/section-3/3-1-assets" TargetMode="External" /><Relationship Type="http://schemas.openxmlformats.org/officeDocument/2006/relationships/hyperlink" Id="rId113" Target="https://guidance.oceanaccounts.org/circulars/section-3/3-2-flows-env-econ" TargetMode="External" /><Relationship Type="http://schemas.openxmlformats.org/officeDocument/2006/relationships/hyperlink" Id="rId114" Target="https://guidance.oceanaccounts.org/circulars/section-3/3-3-economic-activity" TargetMode="External" /><Relationship Type="http://schemas.openxmlformats.org/officeDocument/2006/relationships/hyperlink" Id="rId115" Target="https://guidance.oceanaccounts.org/circulars/section-3/3-4-flows-econ-env" TargetMode="External" /><Relationship Type="http://schemas.openxmlformats.org/officeDocument/2006/relationships/hyperlink" Id="rId116" Target="https://guidance.oceanaccounts.org/circulars/section-3/3-5-social-accounts" TargetMode="External" /><Relationship Type="http://schemas.openxmlformats.org/officeDocument/2006/relationships/hyperlink" Id="rId117" Target="https://guidance.oceanaccounts.org/circulars/section-4/4-1-remote-sensing" TargetMode="External" /><Relationship Type="http://schemas.openxmlformats.org/officeDocument/2006/relationships/hyperlink" Id="rId118" Target="https://guidance.oceanaccounts.org/circulars/section-4/4-2-survey-methods" TargetMode="External" /><Relationship Type="http://schemas.openxmlformats.org/officeDocument/2006/relationships/hyperlink" Id="rId119" Target="https://guidance.oceanaccounts.org/circulars/section-4/4-3-administrative-data" TargetMode="External" /><Relationship Type="http://schemas.openxmlformats.org/officeDocument/2006/relationships/hyperlink" Id="rId120" Target="https://guidance.oceanaccounts.org/circulars/section-4/4-4-citizen-science" TargetMode="External" /><Relationship Type="http://schemas.openxmlformats.org/officeDocument/2006/relationships/hyperlink" Id="rId121" Target="https://guidance.oceanaccounts.org/circulars/section-4/4-5-research-data" TargetMode="External" /><Relationship Type="http://schemas.openxmlformats.org/officeDocument/2006/relationships/hyperlink" Id="rId122" Target="https://guidance.oceanaccounts.org/circulars/section-4/4-6-data-harmonisation" TargetMode="External" /><Relationship Type="http://schemas.openxmlformats.org/officeDocument/2006/relationships/hyperlink" Id="rId123" Target="https://guidance.oceanaccounts.org/circulars/section-4/4-7-data-coordination" TargetMode="External" /></Relationships>
</file>

<file path=word/_rels/footnotes.xml.rels><?xml version="1.0" encoding="UTF-8"?><Relationships xmlns="http://schemas.openxmlformats.org/package/2006/relationships"><Relationship Type="http://schemas.openxmlformats.org/officeDocument/2006/relationships/hyperlink" Id="rId134" Target="https://cices.eu" TargetMode="External" /><Relationship Type="http://schemas.openxmlformats.org/officeDocument/2006/relationships/hyperlink" Id="rId27" Target="https://creativecommons.org/licenses/by-nc/4.0/" TargetMode="External" /><Relationship Type="http://schemas.openxmlformats.org/officeDocument/2006/relationships/hyperlink" Id="rId35" Target="https://guidance.oceanaccounts.org/circulars/section-0/0-1-general-introduction" TargetMode="External" /><Relationship Type="http://schemas.openxmlformats.org/officeDocument/2006/relationships/hyperlink" Id="rId36" Target="https://guidance.oceanaccounts.org/circulars/section-0/0-2-standards-overview" TargetMode="External" /><Relationship Type="http://schemas.openxmlformats.org/officeDocument/2006/relationships/hyperlink" Id="rId112" Target="https://guidance.oceanaccounts.org/circulars/section-3/3-1-assets" TargetMode="External" /><Relationship Type="http://schemas.openxmlformats.org/officeDocument/2006/relationships/hyperlink" Id="rId113" Target="https://guidance.oceanaccounts.org/circulars/section-3/3-2-flows-env-econ" TargetMode="External" /><Relationship Type="http://schemas.openxmlformats.org/officeDocument/2006/relationships/hyperlink" Id="rId114" Target="https://guidance.oceanaccounts.org/circulars/section-3/3-3-economic-activity" TargetMode="External" /><Relationship Type="http://schemas.openxmlformats.org/officeDocument/2006/relationships/hyperlink" Id="rId115" Target="https://guidance.oceanaccounts.org/circulars/section-3/3-4-flows-econ-env" TargetMode="External" /><Relationship Type="http://schemas.openxmlformats.org/officeDocument/2006/relationships/hyperlink" Id="rId116" Target="https://guidance.oceanaccounts.org/circulars/section-3/3-5-social-accounts" TargetMode="External" /><Relationship Type="http://schemas.openxmlformats.org/officeDocument/2006/relationships/hyperlink" Id="rId117" Target="https://guidance.oceanaccounts.org/circulars/section-4/4-1-remote-sensing" TargetMode="External" /><Relationship Type="http://schemas.openxmlformats.org/officeDocument/2006/relationships/hyperlink" Id="rId118" Target="https://guidance.oceanaccounts.org/circulars/section-4/4-2-survey-methods" TargetMode="External" /><Relationship Type="http://schemas.openxmlformats.org/officeDocument/2006/relationships/hyperlink" Id="rId119" Target="https://guidance.oceanaccounts.org/circulars/section-4/4-3-administrative-data" TargetMode="External" /><Relationship Type="http://schemas.openxmlformats.org/officeDocument/2006/relationships/hyperlink" Id="rId120" Target="https://guidance.oceanaccounts.org/circulars/section-4/4-4-citizen-science" TargetMode="External" /><Relationship Type="http://schemas.openxmlformats.org/officeDocument/2006/relationships/hyperlink" Id="rId121" Target="https://guidance.oceanaccounts.org/circulars/section-4/4-5-research-data" TargetMode="External" /><Relationship Type="http://schemas.openxmlformats.org/officeDocument/2006/relationships/hyperlink" Id="rId122" Target="https://guidance.oceanaccounts.org/circulars/section-4/4-6-data-harmonisation" TargetMode="External" /><Relationship Type="http://schemas.openxmlformats.org/officeDocument/2006/relationships/hyperlink" Id="rId123" Target="https://guidance.oceanaccounts.org/circulars/section-4/4-7-data-coordina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Assurance Principles | Global Ocean Accounts Partnership</dc:title>
  <dc:creator/>
  <dc:description>Explains the quality assurance principles that apply across all ocean accounting work, and how to document and review compiled accounts.</dc:description>
  <dc:language>en</dc:language>
  <cp:keywords/>
  <dcterms:created xsi:type="dcterms:W3CDTF">2026-10-23T04:11:58Z</dcterms:created>
  <dcterms:modified xsi:type="dcterms:W3CDTF">2026-10-23T04:11:58Z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https://guidance.oceanaccounts.org/circulars/section-0/0-7-quality-assurance/</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Quality Assurance Principles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Quality Assurance Principles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