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Structure and Focus of the Technical Guidance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TG-0.4 Section 0: Concepts, Definitions and Front Matter Core Draft TG-0.4 Core Draft Section 0 Section 0: Concepts, Definitions and Front Matter</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TG-0.4</w:t>
            </w:r>
          </w:p>
        </w:tc>
      </w:tr>
      <w:tr>
        <w:tc>
          <w:tcPr/>
          <w:p>
            <w:pPr>
              <w:pStyle w:val="Compact"/>
              <w:jc w:val="left"/>
            </w:pPr>
            <w:r>
              <w:rPr>
                <w:bCs/>
                <w:b/>
                <w:lang w:val="en"/>
              </w:rPr>
              <w:t xml:space="preserve">Version</w:t>
            </w:r>
          </w:p>
        </w:tc>
        <w:tc>
          <w:tcPr/>
          <w:p>
            <w:pPr>
              <w:pStyle w:val="Compact"/>
              <w:jc w:val="left"/>
            </w:pPr>
            <w:r>
              <w:rPr>
                <w:lang w:val="en"/>
              </w:rPr>
              <w:t xml:space="preserve">0.10.1</w:t>
            </w:r>
          </w:p>
        </w:tc>
      </w:tr>
      <w:tr>
        <w:tc>
          <w:tcPr/>
          <w:p>
            <w:pPr>
              <w:pStyle w:val="Compact"/>
              <w:jc w:val="left"/>
            </w:pPr>
            <w:r>
              <w:rPr>
                <w:bCs/>
                <w:b/>
                <w:lang w:val="en"/>
              </w:rPr>
              <w:t xml:space="preserve">Badge</w:t>
            </w:r>
          </w:p>
        </w:tc>
        <w:tc>
          <w:tcPr/>
          <w:p>
            <w:pPr>
              <w:pStyle w:val="Compact"/>
              <w:jc w:val="left"/>
            </w:pPr>
            <w:r>
              <w:rPr>
                <w:lang w:val="en"/>
              </w:rPr>
              <w:t xml:space="preserve">Core</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TG-0.4 · Section 0: Concepts, Definitions and Front Matter · 1 September 2026</w:t>
      </w:r>
    </w:p>
    <w:bookmarkStart w:id="26" w:name="X97a863fa2fcb962d0d47b2711268474a4d70206"/>
    <w:p>
      <w:pPr>
        <w:pStyle w:val="Heading1"/>
      </w:pPr>
      <w:r>
        <w:rPr>
          <w:lang w:val="en"/>
        </w:rPr>
        <w:t xml:space="preserve">Structure and Focus of the Technical Guidance</w:t>
      </w:r>
    </w:p>
    <w:p>
      <w:pPr>
        <w:pStyle w:val="FirstParagraph"/>
      </w:pPr>
      <w:r>
        <w:rPr>
          <w:lang w:val="en"/>
        </w:rPr>
        <w:t xml:space="preserve">Explains how the Technical Guidance is organised, the meta-structure each circular follows, and the conventions for versioning and stability badges.</w:t>
      </w:r>
    </w:p>
    <w:p>
      <w:pPr>
        <w:pStyle w:val="DefinitionTerm"/>
      </w:pPr>
      <w:r>
        <w:rPr>
          <w:lang w:val="en"/>
        </w:rPr>
        <w:t xml:space="preserve">Version</w:t>
      </w:r>
    </w:p>
    <w:p>
      <w:pPr>
        <w:pStyle w:val="Definition"/>
      </w:pPr>
      <w:r>
        <w:rPr>
          <w:lang w:val="en"/>
        </w:rPr>
        <w:t xml:space="preserve">0.10.1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Core</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c315b250a9412db57ad2ddf742a4b6b9107d4a2">
        <w:r>
          <w:rPr>
            <w:rStyle w:val="Hyperlink"/>
            <w:lang w:val="en"/>
          </w:rPr>
          <w:t xml:space="preserve">3. Organisation of the Technical Guidance</w:t>
        </w:r>
      </w:hyperlink>
    </w:p>
    <w:p>
      <w:pPr>
        <w:numPr>
          <w:ilvl w:val="1"/>
          <w:numId w:val="1002"/>
        </w:numPr>
        <w:pStyle w:val="Compact"/>
      </w:pPr>
      <w:hyperlink w:anchor="Xa68cbc8fac1ab76310b16396b0c39b8e77ca18c">
        <w:r>
          <w:rPr>
            <w:rStyle w:val="Hyperlink"/>
            <w:lang w:val="en"/>
          </w:rPr>
          <w:t xml:space="preserve">3.1 Section Structure</w:t>
        </w:r>
      </w:hyperlink>
    </w:p>
    <w:p>
      <w:pPr>
        <w:numPr>
          <w:ilvl w:val="1"/>
          <w:numId w:val="1002"/>
        </w:numPr>
        <w:pStyle w:val="Compact"/>
      </w:pPr>
      <w:hyperlink w:anchor="X6fb6412af3002baaf9ab8512ffd7cbec4a7883b">
        <w:r>
          <w:rPr>
            <w:rStyle w:val="Hyperlink"/>
            <w:lang w:val="en"/>
          </w:rPr>
          <w:t xml:space="preserve">3.2 Circular Numbering</w:t>
        </w:r>
      </w:hyperlink>
    </w:p>
    <w:p>
      <w:pPr>
        <w:numPr>
          <w:ilvl w:val="1"/>
          <w:numId w:val="1002"/>
        </w:numPr>
        <w:pStyle w:val="Compact"/>
      </w:pPr>
      <w:hyperlink w:anchor="X0a2219e6a4254f1e09b14892083a4c19581cf3e">
        <w:r>
          <w:rPr>
            <w:rStyle w:val="Hyperlink"/>
            <w:lang w:val="en"/>
          </w:rPr>
          <w:t xml:space="preserve">3.3 Stability Classification (Badges)</w:t>
        </w:r>
      </w:hyperlink>
    </w:p>
    <w:p>
      <w:pPr>
        <w:numPr>
          <w:ilvl w:val="0"/>
          <w:numId w:val="1001"/>
        </w:numPr>
        <w:pStyle w:val="Compact"/>
      </w:pPr>
      <w:hyperlink w:anchor="Xcfb10469c1295b23e341dee8bc6cefaf5696f89">
        <w:r>
          <w:rPr>
            <w:rStyle w:val="Hyperlink"/>
            <w:lang w:val="en"/>
          </w:rPr>
          <w:t xml:space="preserve">4. Circular Meta-Structure</w:t>
        </w:r>
      </w:hyperlink>
    </w:p>
    <w:p>
      <w:pPr>
        <w:numPr>
          <w:ilvl w:val="1"/>
          <w:numId w:val="1003"/>
        </w:numPr>
        <w:pStyle w:val="Compact"/>
      </w:pPr>
      <w:hyperlink w:anchor="X96fdec9446e34a988a287fa6515c9a651f9bbb3">
        <w:r>
          <w:rPr>
            <w:rStyle w:val="Hyperlink"/>
            <w:lang w:val="en"/>
          </w:rPr>
          <w:t xml:space="preserve">4.1 YAML Frontmatter Specification</w:t>
        </w:r>
      </w:hyperlink>
    </w:p>
    <w:p>
      <w:pPr>
        <w:numPr>
          <w:ilvl w:val="1"/>
          <w:numId w:val="1003"/>
        </w:numPr>
        <w:pStyle w:val="Compact"/>
      </w:pPr>
      <w:hyperlink w:anchor="X8edb04e3184993f7c93844d4e7b0ffff18c1a40">
        <w:r>
          <w:rPr>
            <w:rStyle w:val="Hyperlink"/>
            <w:lang w:val="en"/>
          </w:rPr>
          <w:t xml:space="preserve">4.2 Metadata Display Block</w:t>
        </w:r>
      </w:hyperlink>
    </w:p>
    <w:p>
      <w:pPr>
        <w:numPr>
          <w:ilvl w:val="1"/>
          <w:numId w:val="1003"/>
        </w:numPr>
        <w:pStyle w:val="Compact"/>
      </w:pPr>
      <w:hyperlink w:anchor="X7f252f06b9e9243f674b7d917ca7e068f31ade6">
        <w:r>
          <w:rPr>
            <w:rStyle w:val="Hyperlink"/>
            <w:lang w:val="en"/>
          </w:rPr>
          <w:t xml:space="preserve">4.3 Standard Section Structure</w:t>
        </w:r>
      </w:hyperlink>
    </w:p>
    <w:p>
      <w:pPr>
        <w:numPr>
          <w:ilvl w:val="1"/>
          <w:numId w:val="1003"/>
        </w:numPr>
        <w:pStyle w:val="Compact"/>
      </w:pPr>
      <w:hyperlink w:anchor="X4787dc4e55c1dcd2d1ac71ed6043fbb41285a5d">
        <w:r>
          <w:rPr>
            <w:rStyle w:val="Hyperlink"/>
            <w:lang w:val="en"/>
          </w:rPr>
          <w:t xml:space="preserve">4.4 Section Content Guidelines</w:t>
        </w:r>
      </w:hyperlink>
    </w:p>
    <w:p>
      <w:pPr>
        <w:numPr>
          <w:ilvl w:val="1"/>
          <w:numId w:val="1003"/>
        </w:numPr>
        <w:pStyle w:val="Compact"/>
      </w:pPr>
      <w:hyperlink w:anchor="X256a9707d479703b7b566eacf61da9c2e3340a9">
        <w:r>
          <w:rPr>
            <w:rStyle w:val="Hyperlink"/>
            <w:lang w:val="en"/>
          </w:rPr>
          <w:t xml:space="preserve">4.5 Section Scope Tests</w:t>
        </w:r>
      </w:hyperlink>
    </w:p>
    <w:p>
      <w:pPr>
        <w:numPr>
          <w:ilvl w:val="0"/>
          <w:numId w:val="1001"/>
        </w:numPr>
        <w:pStyle w:val="Compact"/>
      </w:pPr>
      <w:hyperlink w:anchor="X6311dc8e2689fcab936a259c7cb89b22b077b6b">
        <w:r>
          <w:rPr>
            <w:rStyle w:val="Hyperlink"/>
            <w:lang w:val="en"/>
          </w:rPr>
          <w:t xml:space="preserve">5. Page Length Guidance</w:t>
        </w:r>
      </w:hyperlink>
    </w:p>
    <w:p>
      <w:pPr>
        <w:numPr>
          <w:ilvl w:val="0"/>
          <w:numId w:val="1001"/>
        </w:numPr>
        <w:pStyle w:val="Compact"/>
      </w:pPr>
      <w:hyperlink w:anchor="X3be8cefd94c25d8b7dcfc21e5ba7212a1383508">
        <w:r>
          <w:rPr>
            <w:rStyle w:val="Hyperlink"/>
            <w:lang w:val="en"/>
          </w:rPr>
          <w:t xml:space="preserve">6. Version and Revision Policy</w:t>
        </w:r>
      </w:hyperlink>
    </w:p>
    <w:p>
      <w:pPr>
        <w:numPr>
          <w:ilvl w:val="1"/>
          <w:numId w:val="1004"/>
        </w:numPr>
        <w:pStyle w:val="Compact"/>
      </w:pPr>
      <w:hyperlink w:anchor="X0d07c0135fca685b6aeecb155570b3f36dd08c8">
        <w:r>
          <w:rPr>
            <w:rStyle w:val="Hyperlink"/>
            <w:lang w:val="en"/>
          </w:rPr>
          <w:t xml:space="preserve">6.1 Version Numbering</w:t>
        </w:r>
      </w:hyperlink>
    </w:p>
    <w:p>
      <w:pPr>
        <w:numPr>
          <w:ilvl w:val="1"/>
          <w:numId w:val="1004"/>
        </w:numPr>
        <w:pStyle w:val="Compact"/>
      </w:pPr>
      <w:hyperlink w:anchor="X31d0258fde3acd7855ae1a2b99239b8ab75583f">
        <w:r>
          <w:rPr>
            <w:rStyle w:val="Hyperlink"/>
            <w:lang w:val="en"/>
          </w:rPr>
          <w:t xml:space="preserve">6.2 Revision Policy</w:t>
        </w:r>
      </w:hyperlink>
    </w:p>
    <w:p>
      <w:pPr>
        <w:numPr>
          <w:ilvl w:val="1"/>
          <w:numId w:val="1004"/>
        </w:numPr>
        <w:pStyle w:val="Compact"/>
      </w:pPr>
      <w:hyperlink w:anchor="X83f281cc78dc0d1c17ba304b1ce409ae3363c28">
        <w:r>
          <w:rPr>
            <w:rStyle w:val="Hyperlink"/>
            <w:lang w:val="en"/>
          </w:rPr>
          <w:t xml:space="preserve">6.3 Superseded Versions</w:t>
        </w:r>
      </w:hyperlink>
    </w:p>
    <w:p>
      <w:pPr>
        <w:numPr>
          <w:ilvl w:val="0"/>
          <w:numId w:val="1001"/>
        </w:numPr>
        <w:pStyle w:val="Compact"/>
      </w:pPr>
      <w:hyperlink w:anchor="X4240ad166fb55a5a6b516f62cd51720c96b496d">
        <w:r>
          <w:rPr>
            <w:rStyle w:val="Hyperlink"/>
            <w:lang w:val="en"/>
          </w:rPr>
          <w:t xml:space="preserve">7. Production Process</w:t>
        </w:r>
      </w:hyperlink>
    </w:p>
    <w:p>
      <w:pPr>
        <w:numPr>
          <w:ilvl w:val="1"/>
          <w:numId w:val="1005"/>
        </w:numPr>
        <w:pStyle w:val="Compact"/>
      </w:pPr>
      <w:hyperlink w:anchor="Xb642b0aeb06f1a083fc871ab8a120ecdc129f07">
        <w:r>
          <w:rPr>
            <w:rStyle w:val="Hyperlink"/>
            <w:lang w:val="en"/>
          </w:rPr>
          <w:t xml:space="preserve">7.1 Circular Development Workflow</w:t>
        </w:r>
      </w:hyperlink>
    </w:p>
    <w:p>
      <w:pPr>
        <w:numPr>
          <w:ilvl w:val="1"/>
          <w:numId w:val="1005"/>
        </w:numPr>
        <w:pStyle w:val="Compact"/>
      </w:pPr>
      <w:hyperlink w:anchor="X97e90ce04ecb63f446c633dd182793462e97508">
        <w:r>
          <w:rPr>
            <w:rStyle w:val="Hyperlink"/>
            <w:lang w:val="en"/>
          </w:rPr>
          <w:t xml:space="preserve">7.2 Publication Cadence</w:t>
        </w:r>
      </w:hyperlink>
    </w:p>
    <w:p>
      <w:pPr>
        <w:numPr>
          <w:ilvl w:val="0"/>
          <w:numId w:val="1001"/>
        </w:numPr>
        <w:pStyle w:val="Compact"/>
      </w:pPr>
      <w:hyperlink w:anchor="X3aef4df5b72d054d80d562f293af77a9d5974eb">
        <w:r>
          <w:rPr>
            <w:rStyle w:val="Hyperlink"/>
            <w:lang w:val="en"/>
          </w:rPr>
          <w:t xml:space="preserve">8. Dependency and Prerequisites</w:t>
        </w:r>
      </w:hyperlink>
    </w:p>
    <w:p>
      <w:pPr>
        <w:numPr>
          <w:ilvl w:val="1"/>
          <w:numId w:val="1006"/>
        </w:numPr>
        <w:pStyle w:val="Compact"/>
      </w:pPr>
      <w:hyperlink w:anchor="X48f3bbaf5a419b17f74b0a0ccf5bae687628a15">
        <w:r>
          <w:rPr>
            <w:rStyle w:val="Hyperlink"/>
            <w:lang w:val="en"/>
          </w:rPr>
          <w:t xml:space="preserve">8.1 Dependency Tracking</w:t>
        </w:r>
      </w:hyperlink>
    </w:p>
    <w:p>
      <w:pPr>
        <w:numPr>
          <w:ilvl w:val="1"/>
          <w:numId w:val="1006"/>
        </w:numPr>
        <w:pStyle w:val="Compact"/>
      </w:pPr>
      <w:hyperlink w:anchor="Xacdc1d068339d3fe1ca6bbf2c01c9adf9c0110e">
        <w:r>
          <w:rPr>
            <w:rStyle w:val="Hyperlink"/>
            <w:lang w:val="en"/>
          </w:rPr>
          <w:t xml:space="preserve">8.2 Dependency Principles</w:t>
        </w:r>
      </w:hyperlink>
    </w:p>
    <w:p>
      <w:pPr>
        <w:numPr>
          <w:ilvl w:val="1"/>
          <w:numId w:val="1006"/>
        </w:numPr>
        <w:pStyle w:val="Compact"/>
      </w:pPr>
      <w:hyperlink w:anchor="X737b13e171131b0839fa56b125a8dc58ad70bf5">
        <w:r>
          <w:rPr>
            <w:rStyle w:val="Hyperlink"/>
            <w:lang w:val="en"/>
          </w:rPr>
          <w:t xml:space="preserve">8.3 Dependency Graph</w:t>
        </w:r>
      </w:hyperlink>
    </w:p>
    <w:p>
      <w:pPr>
        <w:numPr>
          <w:ilvl w:val="0"/>
          <w:numId w:val="1001"/>
        </w:numPr>
        <w:pStyle w:val="Compact"/>
      </w:pPr>
      <w:hyperlink w:anchor="X157b1d23691bced99795023b935081b6f6e05dd">
        <w:r>
          <w:rPr>
            <w:rStyle w:val="Hyperlink"/>
            <w:lang w:val="en"/>
          </w:rPr>
          <w:t xml:space="preserve">9. Cross-Cutting Themes</w:t>
        </w:r>
      </w:hyperlink>
    </w:p>
    <w:p>
      <w:pPr>
        <w:numPr>
          <w:ilvl w:val="0"/>
          <w:numId w:val="1001"/>
        </w:numPr>
        <w:pStyle w:val="Compact"/>
      </w:pPr>
      <w:hyperlink w:anchor="X221b91a27fbaea4f5f52a904b95013f515eb5e8">
        <w:r>
          <w:rPr>
            <w:rStyle w:val="Hyperlink"/>
            <w:lang w:val="en"/>
          </w:rPr>
          <w:t xml:space="preserve">10. Acknowledgements</w:t>
        </w:r>
      </w:hyperlink>
    </w:p>
    <w:p>
      <w:pPr>
        <w:numPr>
          <w:ilvl w:val="0"/>
          <w:numId w:val="1001"/>
        </w:numPr>
        <w:pStyle w:val="Compact"/>
      </w:pPr>
      <w:hyperlink w:anchor="X726793783ba4ae7f9802481ba226d33bdbc715c">
        <w:r>
          <w:rPr>
            <w:rStyle w:val="Hyperlink"/>
            <w:lang w:val="en"/>
          </w:rPr>
          <w:t xml:space="preserve">11.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Structure and Focus of the Technical Guidance (2026) (GOAP Technical Guidance on Ocean Accounting, TG-0.4, v0.10.1). GOAP Secretariat. https://guidance.oceanaccounts.org/circulars/section-0/0-4-structure/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reading this Circular, you will understand how the Technical Guidance on Ocean Accounting is organised, the meta-structure each circular follows, the conventions for versioning, stability classification, and dependency tracking, and the production process for circulars. This Circular is a reference for authors, editors, and users of the Technical Guidance.</w:t>
      </w:r>
    </w:p>
    <w:bookmarkStart w:id="34"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4"/>
    <w:p>
      <w:pPr>
        <w:pStyle w:val="BodyText"/>
      </w:pPr>
      <w:r>
        <w:rPr>
          <w:lang w:val="en"/>
        </w:rPr>
        <w:t xml:space="preserve">¶1</w:t>
      </w:r>
      <w:r>
        <w:rPr>
          <w:lang w:val="en"/>
        </w:rPr>
        <w:t xml:space="preserve"> </w:t>
      </w:r>
      <w:r>
        <w:rPr>
          <w:lang w:val="en"/>
        </w:rPr>
        <w:t xml:space="preserve">None.</w:t>
      </w:r>
    </w:p>
    <w:p>
      <w:pPr>
        <w:pStyle w:val="BodyText"/>
      </w:pPr>
      <w:r>
        <w:rPr>
          <w:lang w:val="en"/>
        </w:rPr>
        <w:t xml:space="preserve">¶2</w:t>
      </w:r>
      <w:r>
        <w:rPr>
          <w:lang w:val="en"/>
        </w:rPr>
        <w:t xml:space="preserve"> </w:t>
      </w:r>
      <w:r>
        <w:drawing>
          <wp:inline>
            <wp:extent cx="152400" cy="152400"/>
            <wp:effectExtent b="0" l="0" r="0" t="0"/>
            <wp:docPr descr="" title="" id="36"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¶3</w:t>
      </w:r>
      <w:r>
        <w:rPr>
          <w:lang w:val="en"/>
        </w:rPr>
        <w:t xml:space="preserve"> </w:t>
      </w:r>
      <w:r>
        <w:rPr>
          <w:lang w:val="en"/>
        </w:rPr>
        <w:t xml:space="preserve">This Circular is a meta-circular: it describes how the Technical Guidance itself is organised rather than providing substantive ocean accounting methodology.</w:t>
      </w:r>
    </w:p>
    <w:bookmarkStart w:id="40" w:name="Xc315b250a9412db57ad2ddf742a4b6b9107d4a2"/>
    <w:p>
      <w:pPr>
        <w:pStyle w:val="Heading2"/>
      </w:pPr>
      <w:r>
        <w:rPr>
          <w:lang w:val="en"/>
        </w:rPr>
        <w:t xml:space="preserve">3.</w:t>
      </w:r>
      <w:r>
        <w:rPr>
          <w:lang w:val="en"/>
        </w:rPr>
        <w:t xml:space="preserve"> </w:t>
      </w:r>
      <w:r>
        <w:rPr>
          <w:lang w:val="en"/>
        </w:rPr>
        <w:t xml:space="preserve">Organisation of the Technical Guidance</w:t>
      </w:r>
    </w:p>
    <w:p>
      <w:pPr>
        <w:pStyle w:val="FirstParagraph"/>
      </w:pPr>
      <w:hyperlink w:anchor="Xc315b250a9412db57ad2ddf742a4b6b9107d4a2">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Organisation of the Technical Guidance”</w:t>
        </w:r>
      </w:hyperlink>
    </w:p>
    <w:bookmarkEnd w:id="40"/>
    <w:bookmarkStart w:id="43" w:name="Xa68cbc8fac1ab76310b16396b0c39b8e77ca18c"/>
    <w:p>
      <w:pPr>
        <w:pStyle w:val="Heading3"/>
      </w:pPr>
      <w:r>
        <w:rPr>
          <w:lang w:val="en"/>
        </w:rPr>
        <w:t xml:space="preserve">3.1</w:t>
      </w:r>
      <w:r>
        <w:rPr>
          <w:lang w:val="en"/>
        </w:rPr>
        <w:t xml:space="preserve"> </w:t>
      </w:r>
      <w:r>
        <w:rPr>
          <w:lang w:val="en"/>
        </w:rPr>
        <w:t xml:space="preserve">Section Structure</w:t>
      </w:r>
    </w:p>
    <w:p>
      <w:pPr>
        <w:pStyle w:val="FirstParagraph"/>
      </w:pPr>
      <w:hyperlink w:anchor="Xa68cbc8fac1ab76310b16396b0c39b8e77ca18c">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Section Structure”</w:t>
        </w:r>
      </w:hyperlink>
    </w:p>
    <w:bookmarkEnd w:id="43"/>
    <w:p>
      <w:pPr>
        <w:pStyle w:val="BodyText"/>
      </w:pPr>
      <w:r>
        <w:rPr>
          <w:lang w:val="en"/>
        </w:rPr>
        <w:t xml:space="preserve">¶1</w:t>
      </w:r>
      <w:r>
        <w:rPr>
          <w:lang w:val="en"/>
        </w:rPr>
        <w:t xml:space="preserve"> </w:t>
      </w:r>
      <w:r>
        <w:rPr>
          <w:lang w:val="en"/>
        </w:rPr>
        <w:t xml:space="preserve">The Technical Guidance is organised into seven sections: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Section</w:t>
            </w:r>
          </w:p>
        </w:tc>
        <w:tc>
          <w:tcPr/>
          <w:p>
            <w:pPr>
              <w:pStyle w:val="Compact"/>
              <w:jc w:val="left"/>
            </w:pPr>
            <w:r>
              <w:rPr>
                <w:lang w:val="en"/>
              </w:rPr>
              <w:t xml:space="preserve">Title</w:t>
            </w:r>
          </w:p>
        </w:tc>
        <w:tc>
          <w:tcPr/>
          <w:p>
            <w:pPr>
              <w:pStyle w:val="Compact"/>
              <w:jc w:val="left"/>
            </w:pPr>
            <w:r>
              <w:rPr>
                <w:lang w:val="en"/>
              </w:rPr>
              <w:t xml:space="preserve">Circulars</w:t>
            </w:r>
          </w:p>
        </w:tc>
        <w:tc>
          <w:tcPr/>
          <w:p>
            <w:pPr>
              <w:pStyle w:val="Compact"/>
              <w:jc w:val="left"/>
            </w:pPr>
            <w:r>
              <w:rPr>
                <w:lang w:val="en"/>
              </w:rPr>
              <w:t xml:space="preserve">Purpose</w:t>
            </w:r>
          </w:p>
        </w:tc>
      </w:tr>
      <w:tr>
        <w:tc>
          <w:tcPr/>
          <w:p>
            <w:pPr>
              <w:pStyle w:val="Compact"/>
              <w:jc w:val="left"/>
            </w:pPr>
            <w:r>
              <w:rPr>
                <w:bCs/>
                <w:b/>
                <w:lang w:val="en"/>
              </w:rPr>
              <w:t xml:space="preserve">0</w:t>
            </w:r>
          </w:p>
        </w:tc>
        <w:tc>
          <w:tcPr/>
          <w:p>
            <w:pPr>
              <w:pStyle w:val="Compact"/>
              <w:jc w:val="left"/>
            </w:pPr>
            <w:r>
              <w:rPr>
                <w:lang w:val="en"/>
              </w:rPr>
              <w:t xml:space="preserve">Concepts, Definitions and Front Matter</w:t>
            </w:r>
          </w:p>
        </w:tc>
        <w:tc>
          <w:tcPr/>
          <w:p>
            <w:pPr>
              <w:pStyle w:val="Compact"/>
              <w:jc w:val="left"/>
            </w:pPr>
            <w:r>
              <w:rPr>
                <w:lang w:val="en"/>
              </w:rPr>
              <w:t xml:space="preserve">8 (TG-0.1—0.8)</w:t>
            </w:r>
          </w:p>
        </w:tc>
        <w:tc>
          <w:tcPr/>
          <w:p>
            <w:pPr>
              <w:pStyle w:val="Compact"/>
              <w:jc w:val="left"/>
            </w:pPr>
            <w:r>
              <w:rPr>
                <w:lang w:val="en"/>
              </w:rPr>
              <w:t xml:space="preserve">Foundational materials: conceptual framework, standards, glossary, QA principles</w:t>
            </w:r>
          </w:p>
        </w:tc>
      </w:tr>
      <w:tr>
        <w:tc>
          <w:tcPr/>
          <w:p>
            <w:pPr>
              <w:pStyle w:val="Compact"/>
              <w:jc w:val="left"/>
            </w:pPr>
            <w:r>
              <w:rPr>
                <w:bCs/>
                <w:b/>
                <w:lang w:val="en"/>
              </w:rPr>
              <w:t xml:space="preserve">1</w:t>
            </w:r>
          </w:p>
        </w:tc>
        <w:tc>
          <w:tcPr/>
          <w:p>
            <w:pPr>
              <w:pStyle w:val="Compact"/>
              <w:jc w:val="left"/>
            </w:pPr>
            <w:r>
              <w:rPr>
                <w:lang w:val="en"/>
              </w:rPr>
              <w:t xml:space="preserve">Using Ocean Accounts in Decision-Making</w:t>
            </w:r>
          </w:p>
        </w:tc>
        <w:tc>
          <w:tcPr/>
          <w:p>
            <w:pPr>
              <w:pStyle w:val="Compact"/>
              <w:jc w:val="left"/>
            </w:pPr>
            <w:r>
              <w:rPr>
                <w:lang w:val="en"/>
              </w:rPr>
              <w:t xml:space="preserve">13 (TG-1.0—1.12)</w:t>
            </w:r>
          </w:p>
        </w:tc>
        <w:tc>
          <w:tcPr/>
          <w:p>
            <w:pPr>
              <w:pStyle w:val="Compact"/>
              <w:jc w:val="left"/>
            </w:pPr>
            <w:r>
              <w:rPr>
                <w:lang w:val="en"/>
              </w:rPr>
              <w:t xml:space="preserve">Policy applications: how accounts inform planning, finance, and management. TG-1.0 is the section-framing circular: it is the entry point to the section, and establishes the vocabulary the other twelve use</w:t>
            </w:r>
          </w:p>
        </w:tc>
      </w:tr>
      <w:tr>
        <w:tc>
          <w:tcPr/>
          <w:p>
            <w:pPr>
              <w:pStyle w:val="Compact"/>
              <w:jc w:val="left"/>
            </w:pPr>
            <w:r>
              <w:rPr>
                <w:bCs/>
                <w:b/>
                <w:lang w:val="en"/>
              </w:rPr>
              <w:t xml:space="preserve">2</w:t>
            </w:r>
          </w:p>
        </w:tc>
        <w:tc>
          <w:tcPr/>
          <w:p>
            <w:pPr>
              <w:pStyle w:val="Compact"/>
              <w:jc w:val="left"/>
            </w:pPr>
            <w:r>
              <w:rPr>
                <w:lang w:val="en"/>
              </w:rPr>
              <w:t xml:space="preserve">Indicators</w:t>
            </w:r>
          </w:p>
        </w:tc>
        <w:tc>
          <w:tcPr/>
          <w:p>
            <w:pPr>
              <w:pStyle w:val="Compact"/>
              <w:jc w:val="left"/>
            </w:pPr>
            <w:r>
              <w:rPr>
                <w:lang w:val="en"/>
              </w:rPr>
              <w:t xml:space="preserve">13 (TG-2.1—2.13)</w:t>
            </w:r>
          </w:p>
        </w:tc>
        <w:tc>
          <w:tcPr/>
          <w:p>
            <w:pPr>
              <w:pStyle w:val="Compact"/>
              <w:jc w:val="left"/>
            </w:pPr>
            <w:r>
              <w:rPr>
                <w:lang w:val="en"/>
              </w:rPr>
              <w:t xml:space="preserve">Indicator methods: deriving decision-relevant metrics from accounts. One exception: TG-2.12 Spatial Data Frameworks is a data-methods circular on the Section 4 definition, numbered here for historical reasons and to be renumbered at the Second Edition</w:t>
            </w:r>
          </w:p>
        </w:tc>
      </w:tr>
      <w:tr>
        <w:tc>
          <w:tcPr/>
          <w:p>
            <w:pPr>
              <w:pStyle w:val="Compact"/>
              <w:jc w:val="left"/>
            </w:pPr>
            <w:r>
              <w:rPr>
                <w:bCs/>
                <w:b/>
                <w:lang w:val="en"/>
              </w:rPr>
              <w:t xml:space="preserve">3</w:t>
            </w:r>
          </w:p>
        </w:tc>
        <w:tc>
          <w:tcPr/>
          <w:p>
            <w:pPr>
              <w:pStyle w:val="Compact"/>
              <w:jc w:val="left"/>
            </w:pPr>
            <w:r>
              <w:rPr>
                <w:lang w:val="en"/>
              </w:rPr>
              <w:t xml:space="preserve">Accounts Compilation</w:t>
            </w:r>
          </w:p>
        </w:tc>
        <w:tc>
          <w:tcPr/>
          <w:p>
            <w:pPr>
              <w:pStyle w:val="Compact"/>
              <w:jc w:val="left"/>
            </w:pPr>
            <w:r>
              <w:rPr>
                <w:lang w:val="en"/>
              </w:rPr>
              <w:t xml:space="preserve">16 (TG-3.1—3.16)</w:t>
            </w:r>
          </w:p>
        </w:tc>
        <w:tc>
          <w:tcPr/>
          <w:p>
            <w:pPr>
              <w:pStyle w:val="Compact"/>
              <w:jc w:val="left"/>
            </w:pPr>
            <w:r>
              <w:rPr>
                <w:lang w:val="en"/>
              </w:rPr>
              <w:t xml:space="preserve">Core methodology: building accounts tables from data sources</w:t>
            </w:r>
          </w:p>
        </w:tc>
      </w:tr>
      <w:tr>
        <w:tc>
          <w:tcPr/>
          <w:p>
            <w:pPr>
              <w:pStyle w:val="Compact"/>
              <w:jc w:val="left"/>
            </w:pPr>
            <w:r>
              <w:rPr>
                <w:bCs/>
                <w:b/>
                <w:lang w:val="en"/>
              </w:rPr>
              <w:t xml:space="preserve">4</w:t>
            </w:r>
          </w:p>
        </w:tc>
        <w:tc>
          <w:tcPr/>
          <w:p>
            <w:pPr>
              <w:pStyle w:val="Compact"/>
              <w:jc w:val="left"/>
            </w:pPr>
            <w:r>
              <w:rPr>
                <w:lang w:val="en"/>
              </w:rPr>
              <w:t xml:space="preserve">Data Methods</w:t>
            </w:r>
          </w:p>
        </w:tc>
        <w:tc>
          <w:tcPr/>
          <w:p>
            <w:pPr>
              <w:pStyle w:val="Compact"/>
              <w:jc w:val="left"/>
            </w:pPr>
            <w:r>
              <w:rPr>
                <w:lang w:val="en"/>
              </w:rPr>
              <w:t xml:space="preserve">12 (TG-4.1—4.12)</w:t>
            </w:r>
          </w:p>
        </w:tc>
        <w:tc>
          <w:tcPr/>
          <w:p>
            <w:pPr>
              <w:pStyle w:val="Compact"/>
              <w:jc w:val="left"/>
            </w:pPr>
            <w:r>
              <w:rPr>
                <w:lang w:val="en"/>
              </w:rPr>
              <w:t xml:space="preserve">Data methods: collection, processing, quality assurance</w:t>
            </w:r>
          </w:p>
        </w:tc>
      </w:tr>
      <w:tr>
        <w:tc>
          <w:tcPr/>
          <w:p>
            <w:pPr>
              <w:pStyle w:val="Compact"/>
              <w:jc w:val="left"/>
            </w:pPr>
            <w:r>
              <w:rPr>
                <w:bCs/>
                <w:b/>
                <w:lang w:val="en"/>
              </w:rPr>
              <w:t xml:space="preserve">5</w:t>
            </w:r>
          </w:p>
        </w:tc>
        <w:tc>
          <w:tcPr/>
          <w:p>
            <w:pPr>
              <w:pStyle w:val="Compact"/>
              <w:jc w:val="left"/>
            </w:pPr>
            <w:r>
              <w:rPr>
                <w:lang w:val="en"/>
              </w:rPr>
              <w:t xml:space="preserve">Geographic and Thematic Case Studies</w:t>
            </w:r>
          </w:p>
        </w:tc>
        <w:tc>
          <w:tcPr/>
          <w:p>
            <w:pPr>
              <w:pStyle w:val="Compact"/>
              <w:jc w:val="left"/>
            </w:pPr>
            <w:r>
              <w:rPr>
                <w:lang w:val="en"/>
              </w:rPr>
              <w:t xml:space="preserve">12 (TG-5.1—5.13; 5.12 reserved)</w:t>
            </w:r>
          </w:p>
        </w:tc>
        <w:tc>
          <w:tcPr/>
          <w:p>
            <w:pPr>
              <w:pStyle w:val="Compact"/>
              <w:jc w:val="left"/>
            </w:pPr>
            <w:r>
              <w:rPr>
                <w:lang w:val="en"/>
              </w:rPr>
              <w:t xml:space="preserve">Implementation examples from partner countries</w:t>
            </w:r>
          </w:p>
        </w:tc>
      </w:tr>
      <w:tr>
        <w:tc>
          <w:tcPr/>
          <w:p>
            <w:pPr>
              <w:pStyle w:val="Compact"/>
              <w:jc w:val="left"/>
            </w:pPr>
            <w:r>
              <w:rPr>
                <w:bCs/>
                <w:b/>
                <w:lang w:val="en"/>
              </w:rPr>
              <w:t xml:space="preserve">6</w:t>
            </w:r>
          </w:p>
        </w:tc>
        <w:tc>
          <w:tcPr/>
          <w:p>
            <w:pPr>
              <w:pStyle w:val="Compact"/>
              <w:jc w:val="left"/>
            </w:pPr>
            <w:r>
              <w:rPr>
                <w:lang w:val="en"/>
              </w:rPr>
              <w:t xml:space="preserve">Thematic Methods</w:t>
            </w:r>
          </w:p>
        </w:tc>
        <w:tc>
          <w:tcPr/>
          <w:p>
            <w:pPr>
              <w:pStyle w:val="Compact"/>
              <w:jc w:val="left"/>
            </w:pPr>
            <w:r>
              <w:rPr>
                <w:lang w:val="en"/>
              </w:rPr>
              <w:t xml:space="preserve">15 (TG-6.1—6.15)</w:t>
            </w:r>
          </w:p>
        </w:tc>
        <w:tc>
          <w:tcPr/>
          <w:p>
            <w:pPr>
              <w:pStyle w:val="Compact"/>
              <w:jc w:val="left"/>
            </w:pPr>
            <w:r>
              <w:rPr>
                <w:lang w:val="en"/>
              </w:rPr>
              <w:t xml:space="preserve">Deep-dive methods for specific ecosystems, sectors, asset classes and intervention classes</w:t>
            </w:r>
          </w:p>
        </w:tc>
      </w:tr>
    </w:tbl>
    <w:bookmarkStart w:id="46" w:name="X6fb6412af3002baaf9ab8512ffd7cbec4a7883b"/>
    <w:p>
      <w:pPr>
        <w:pStyle w:val="Heading3"/>
      </w:pPr>
      <w:r>
        <w:rPr>
          <w:lang w:val="en"/>
        </w:rPr>
        <w:t xml:space="preserve">3.2</w:t>
      </w:r>
      <w:r>
        <w:rPr>
          <w:lang w:val="en"/>
        </w:rPr>
        <w:t xml:space="preserve"> </w:t>
      </w:r>
      <w:r>
        <w:rPr>
          <w:lang w:val="en"/>
        </w:rPr>
        <w:t xml:space="preserve">Circular Numbering</w:t>
      </w:r>
    </w:p>
    <w:p>
      <w:pPr>
        <w:pStyle w:val="FirstParagraph"/>
      </w:pPr>
      <w:hyperlink w:anchor="X6fb6412af3002baaf9ab8512ffd7cbec4a7883b">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Circular Numbering”</w:t>
        </w:r>
      </w:hyperlink>
    </w:p>
    <w:bookmarkEnd w:id="46"/>
    <w:p>
      <w:pPr>
        <w:pStyle w:val="BodyText"/>
      </w:pPr>
      <w:r>
        <w:rPr>
          <w:lang w:val="en"/>
        </w:rPr>
        <w:t xml:space="preserve">¶1</w:t>
      </w:r>
      <w:r>
        <w:rPr>
          <w:lang w:val="en"/>
        </w:rPr>
        <w:t xml:space="preserve"> </w:t>
      </w:r>
      <w:r>
        <w:rPr>
          <w:lang w:val="en"/>
        </w:rPr>
        <w:t xml:space="preserve">Each circular is identified by:</w:t>
      </w:r>
      <w:r>
        <w:rPr>
          <w:lang w:val="en"/>
        </w:rPr>
        <w:t xml:space="preserve"> </w:t>
      </w:r>
      <w:r>
        <w:rPr>
          <w:rStyle w:val="VerbatimChar"/>
          <w:lang w:val="en"/>
        </w:rPr>
        <w:t xml:space="preserve">TG-[Section].[Number]</w:t>
      </w:r>
    </w:p>
    <w:p>
      <w:pPr>
        <w:numPr>
          <w:ilvl w:val="0"/>
          <w:numId w:val="1007"/>
        </w:numPr>
        <w:pStyle w:val="Compact"/>
      </w:pPr>
      <w:r>
        <w:rPr>
          <w:lang w:val="en"/>
        </w:rPr>
        <w:t xml:space="preserve">¶2</w:t>
      </w:r>
      <w:r>
        <w:rPr>
          <w:lang w:val="en"/>
        </w:rPr>
        <w:t xml:space="preserve"> </w:t>
      </w:r>
      <w:r>
        <w:rPr>
          <w:bCs/>
          <w:b/>
          <w:lang w:val="en"/>
        </w:rPr>
        <w:t xml:space="preserve">TG-0.1</w:t>
      </w:r>
      <w:r>
        <w:rPr>
          <w:lang w:val="en"/>
        </w:rPr>
        <w:t xml:space="preserve">: Section 0, Circular 1</w:t>
      </w:r>
    </w:p>
    <w:p>
      <w:pPr>
        <w:numPr>
          <w:ilvl w:val="0"/>
          <w:numId w:val="1007"/>
        </w:numPr>
        <w:pStyle w:val="Compact"/>
      </w:pPr>
      <w:r>
        <w:rPr>
          <w:lang w:val="en"/>
        </w:rPr>
        <w:t xml:space="preserve">¶3</w:t>
      </w:r>
      <w:r>
        <w:rPr>
          <w:lang w:val="en"/>
        </w:rPr>
        <w:t xml:space="preserve"> </w:t>
      </w:r>
      <w:r>
        <w:rPr>
          <w:bCs/>
          <w:b/>
          <w:lang w:val="en"/>
        </w:rPr>
        <w:t xml:space="preserve">TG-6.14</w:t>
      </w:r>
      <w:r>
        <w:rPr>
          <w:lang w:val="en"/>
        </w:rPr>
        <w:t xml:space="preserve">: Section 6, Circular 14 (Marine and Coastal Tourism Accounting)</w:t>
      </w:r>
    </w:p>
    <w:p>
      <w:pPr>
        <w:pStyle w:val="FirstParagraph"/>
      </w:pPr>
      <w:r>
        <w:rPr>
          <w:lang w:val="en"/>
        </w:rPr>
        <w:t xml:space="preserve">¶4</w:t>
      </w:r>
      <w:r>
        <w:rPr>
          <w:lang w:val="en"/>
        </w:rPr>
        <w:t xml:space="preserve"> </w:t>
      </w:r>
      <w:r>
        <w:rPr>
          <w:lang w:val="en"/>
        </w:rPr>
        <w:t xml:space="preserve">The number</w:t>
      </w:r>
      <w:r>
        <w:rPr>
          <w:lang w:val="en"/>
        </w:rPr>
        <w:t xml:space="preserve"> </w:t>
      </w:r>
      <w:r>
        <w:rPr>
          <w:rStyle w:val="VerbatimChar"/>
          <w:lang w:val="en"/>
        </w:rPr>
        <w:t xml:space="preserve">.0</w:t>
      </w:r>
      <w:r>
        <w:rPr>
          <w:lang w:val="en"/>
        </w:rPr>
        <w:t xml:space="preserve"> </w:t>
      </w:r>
      <w:r>
        <w:rPr>
          <w:lang w:val="en"/>
        </w:rPr>
        <w:t xml:space="preserve">is reserved for a section-framing circular: one that establishes the vocabulary and the routing the rest of its section depends on, and that carries no method of its own. Section 1 has one, TG-1.0, because the terminology of ocean economy measurement is used by the other twelve circulars in that section. Sections without such a circular begin at</w:t>
      </w:r>
      <w:r>
        <w:rPr>
          <w:lang w:val="en"/>
        </w:rPr>
        <w:t xml:space="preserve"> </w:t>
      </w:r>
      <w:r>
        <w:rPr>
          <w:rStyle w:val="VerbatimChar"/>
          <w:lang w:val="en"/>
        </w:rPr>
        <w:t xml:space="preserve">.1</w:t>
      </w:r>
      <w:r>
        <w:rPr>
          <w:lang w:val="en"/>
        </w:rPr>
        <w:t xml:space="preserve">, and a</w:t>
      </w:r>
      <w:r>
        <w:rPr>
          <w:lang w:val="en"/>
        </w:rPr>
        <w:t xml:space="preserve"> </w:t>
      </w:r>
      <w:r>
        <w:rPr>
          <w:rStyle w:val="VerbatimChar"/>
          <w:lang w:val="en"/>
        </w:rPr>
        <w:t xml:space="preserve">.0</w:t>
      </w:r>
      <w:r>
        <w:rPr>
          <w:lang w:val="en"/>
        </w:rPr>
        <w:t xml:space="preserve"> </w:t>
      </w:r>
      <w:r>
        <w:rPr>
          <w:lang w:val="en"/>
        </w:rPr>
        <w:t xml:space="preserve">is not to be created to complete a pattern.</w:t>
      </w:r>
    </w:p>
    <w:p>
      <w:pPr>
        <w:pStyle w:val="BodyText"/>
      </w:pPr>
      <w:r>
        <w:rPr>
          <w:lang w:val="en"/>
        </w:rPr>
        <w:t xml:space="preserve">¶5</w:t>
      </w:r>
      <w:r>
        <w:rPr>
          <w:lang w:val="en"/>
        </w:rPr>
        <w:t xml:space="preserve"> </w:t>
      </w:r>
      <w:r>
        <w:rPr>
          <w:lang w:val="en"/>
        </w:rPr>
        <w:t xml:space="preserve">The version number is recorded in the circular’s YAML frontmatter as a separate</w:t>
      </w:r>
      <w:r>
        <w:rPr>
          <w:lang w:val="en"/>
        </w:rPr>
        <w:t xml:space="preserve"> </w:t>
      </w:r>
      <w:r>
        <w:rPr>
          <w:rStyle w:val="VerbatimChar"/>
          <w:lang w:val="en"/>
        </w:rPr>
        <w:t xml:space="preserve">version</w:t>
      </w:r>
      <w:r>
        <w:rPr>
          <w:lang w:val="en"/>
        </w:rPr>
        <w:t xml:space="preserve"> </w:t>
      </w:r>
      <w:r>
        <w:rPr>
          <w:lang w:val="en"/>
        </w:rPr>
        <w:t xml:space="preserve">field (e.g.,</w:t>
      </w:r>
      <w:r>
        <w:rPr>
          <w:lang w:val="en"/>
        </w:rPr>
        <w:t xml:space="preserve"> </w:t>
      </w:r>
      <w:r>
        <w:rPr>
          <w:rStyle w:val="VerbatimChar"/>
          <w:lang w:val="en"/>
        </w:rPr>
        <w:t xml:space="preserve">version: "0.2.0"</w:t>
      </w:r>
      <w:r>
        <w:rPr>
          <w:lang w:val="en"/>
        </w:rPr>
        <w:t xml:space="preserve">). Major increments reflect substantive content changes, whilst minor increments reflect editorial improvements.</w:t>
      </w:r>
    </w:p>
    <w:bookmarkStart w:id="49" w:name="X0a2219e6a4254f1e09b14892083a4c19581cf3e"/>
    <w:p>
      <w:pPr>
        <w:pStyle w:val="Heading3"/>
      </w:pPr>
      <w:r>
        <w:rPr>
          <w:lang w:val="en"/>
        </w:rPr>
        <w:t xml:space="preserve">3.3</w:t>
      </w:r>
      <w:r>
        <w:rPr>
          <w:lang w:val="en"/>
        </w:rPr>
        <w:t xml:space="preserve"> </w:t>
      </w:r>
      <w:r>
        <w:rPr>
          <w:lang w:val="en"/>
        </w:rPr>
        <w:t xml:space="preserve">Stability Classification (Badges)</w:t>
      </w:r>
    </w:p>
    <w:p>
      <w:pPr>
        <w:pStyle w:val="FirstParagraph"/>
      </w:pPr>
      <w:hyperlink w:anchor="X0a2219e6a4254f1e09b14892083a4c19581cf3e">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Stability Classification (Badges)”</w:t>
        </w:r>
      </w:hyperlink>
    </w:p>
    <w:bookmarkEnd w:id="49"/>
    <w:p>
      <w:pPr>
        <w:pStyle w:val="BodyText"/>
      </w:pPr>
      <w:r>
        <w:rPr>
          <w:lang w:val="en"/>
        </w:rPr>
        <w:t xml:space="preserve">¶1</w:t>
      </w:r>
      <w:r>
        <w:rPr>
          <w:lang w:val="en"/>
        </w:rPr>
        <w:t xml:space="preserve"> </w:t>
      </w:r>
      <w:r>
        <w:rPr>
          <w:lang w:val="en"/>
        </w:rPr>
        <w:t xml:space="preserve">Each circular carries a stability badge indicating its relationship to underlying standards. See</w:t>
      </w:r>
      <w:r>
        <w:rPr>
          <w:lang w:val="en"/>
        </w:rPr>
        <w:t xml:space="preserve"> </w:t>
      </w:r>
      <w:hyperlink r:id="rId50">
        <w:r>
          <w:rPr>
            <w:rStyle w:val="Hyperlink"/>
            <w:lang w:val="en"/>
          </w:rPr>
          <w:t xml:space="preserve">TG-0.5 Navigating the Technical Guidance</w:t>
        </w:r>
      </w:hyperlink>
      <w:r>
        <w:rPr>
          <w:lang w:val="en"/>
        </w:rPr>
        <w:t xml:space="preserve"> </w:t>
      </w:r>
      <w:r>
        <w:rPr>
          <w:lang w:val="en"/>
        </w:rPr>
        <w:t xml:space="preserve">for full definitions.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Badge</w:t>
            </w:r>
          </w:p>
        </w:tc>
        <w:tc>
          <w:tcPr/>
          <w:p>
            <w:pPr>
              <w:pStyle w:val="Compact"/>
              <w:jc w:val="left"/>
            </w:pPr>
            <w:r>
              <w:rPr>
                <w:lang w:val="en"/>
              </w:rPr>
              <w:t xml:space="preserve">Meaning</w:t>
            </w:r>
          </w:p>
        </w:tc>
        <w:tc>
          <w:tcPr/>
          <w:p>
            <w:pPr>
              <w:pStyle w:val="Compact"/>
              <w:jc w:val="left"/>
            </w:pPr>
            <w:r>
              <w:rPr>
                <w:lang w:val="en"/>
              </w:rPr>
              <w:t xml:space="preserve">Update Trigger</w:t>
            </w:r>
          </w:p>
        </w:tc>
      </w:tr>
      <w:tr>
        <w:tc>
          <w:tcPr/>
          <w:p>
            <w:pPr>
              <w:pStyle w:val="Compact"/>
              <w:jc w:val="left"/>
            </w:pPr>
            <w:r>
              <w:rPr>
                <w:bCs/>
                <w:b/>
                <w:lang w:val="en"/>
              </w:rPr>
              <w:t xml:space="preserve">Core</w:t>
            </w:r>
          </w:p>
        </w:tc>
        <w:tc>
          <w:tcPr/>
          <w:p>
            <w:pPr>
              <w:pStyle w:val="Compact"/>
              <w:jc w:val="left"/>
            </w:pPr>
            <w:r>
              <w:rPr>
                <w:lang w:val="en"/>
              </w:rPr>
              <w:t xml:space="preserve">Based on adopted international standards (2025 SNA, SEEA CF, SEEA EA)</w:t>
            </w:r>
          </w:p>
        </w:tc>
        <w:tc>
          <w:tcPr/>
          <w:p>
            <w:pPr>
              <w:pStyle w:val="Compact"/>
              <w:jc w:val="left"/>
            </w:pPr>
            <w:r>
              <w:rPr>
                <w:lang w:val="en"/>
              </w:rPr>
              <w:t xml:space="preserve">Only when standards are formally revised</w:t>
            </w:r>
          </w:p>
        </w:tc>
      </w:tr>
      <w:tr>
        <w:tc>
          <w:tcPr/>
          <w:p>
            <w:pPr>
              <w:pStyle w:val="Compact"/>
              <w:jc w:val="left"/>
            </w:pPr>
            <w:r>
              <w:rPr>
                <w:bCs/>
                <w:b/>
                <w:lang w:val="en"/>
              </w:rPr>
              <w:t xml:space="preserve">Applied</w:t>
            </w:r>
          </w:p>
        </w:tc>
        <w:tc>
          <w:tcPr/>
          <w:p>
            <w:pPr>
              <w:pStyle w:val="Compact"/>
              <w:jc w:val="left"/>
            </w:pPr>
            <w:r>
              <w:rPr>
                <w:lang w:val="en"/>
              </w:rPr>
              <w:t xml:space="preserve">Interprets standards for ocean context; stable but may evolve</w:t>
            </w:r>
          </w:p>
        </w:tc>
        <w:tc>
          <w:tcPr/>
          <w:p>
            <w:pPr>
              <w:pStyle w:val="Compact"/>
              <w:jc w:val="left"/>
            </w:pPr>
            <w:r>
              <w:rPr>
                <w:lang w:val="en"/>
              </w:rPr>
              <w:t xml:space="preserve">Annual review cycle</w:t>
            </w:r>
          </w:p>
        </w:tc>
      </w:tr>
      <w:tr>
        <w:tc>
          <w:tcPr/>
          <w:p>
            <w:pPr>
              <w:pStyle w:val="Compact"/>
              <w:jc w:val="left"/>
            </w:pPr>
            <w:r>
              <w:rPr>
                <w:bCs/>
                <w:b/>
                <w:lang w:val="en"/>
              </w:rPr>
              <w:t xml:space="preserve">Emerging</w:t>
            </w:r>
          </w:p>
        </w:tc>
        <w:tc>
          <w:tcPr/>
          <w:p>
            <w:pPr>
              <w:pStyle w:val="Compact"/>
              <w:jc w:val="left"/>
            </w:pPr>
            <w:r>
              <w:rPr>
                <w:lang w:val="en"/>
              </w:rPr>
              <w:t xml:space="preserve">Addresses topics where standards are still developing</w:t>
            </w:r>
          </w:p>
        </w:tc>
        <w:tc>
          <w:tcPr/>
          <w:p>
            <w:pPr>
              <w:pStyle w:val="Compact"/>
              <w:jc w:val="left"/>
            </w:pPr>
            <w:r>
              <w:rPr>
                <w:lang w:val="en"/>
              </w:rPr>
              <w:t xml:space="preserve">Updated as standards crystallise</w:t>
            </w:r>
          </w:p>
        </w:tc>
      </w:tr>
    </w:tbl>
    <w:p>
      <w:r>
        <w:pict>
          <v:rect style="width:0;height:1.5pt" o:hralign="center" o:hrstd="t" o:hr="t"/>
        </w:pict>
      </w:r>
    </w:p>
    <w:bookmarkStart w:id="53" w:name="Xcfb10469c1295b23e341dee8bc6cefaf5696f89"/>
    <w:p>
      <w:pPr>
        <w:pStyle w:val="Heading2"/>
      </w:pPr>
      <w:r>
        <w:rPr>
          <w:lang w:val="en"/>
        </w:rPr>
        <w:t xml:space="preserve">4.</w:t>
      </w:r>
      <w:r>
        <w:rPr>
          <w:lang w:val="en"/>
        </w:rPr>
        <w:t xml:space="preserve"> </w:t>
      </w:r>
      <w:r>
        <w:rPr>
          <w:lang w:val="en"/>
        </w:rPr>
        <w:t xml:space="preserve">Circular Meta-Structure</w:t>
      </w:r>
    </w:p>
    <w:p>
      <w:pPr>
        <w:pStyle w:val="FirstParagraph"/>
      </w:pPr>
      <w:hyperlink w:anchor="Xcfb10469c1295b23e341dee8bc6cefaf5696f89">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Circular Meta-Structure”</w:t>
        </w:r>
      </w:hyperlink>
    </w:p>
    <w:bookmarkEnd w:id="53"/>
    <w:p>
      <w:pPr>
        <w:pStyle w:val="BodyText"/>
      </w:pPr>
      <w:r>
        <w:rPr>
          <w:lang w:val="en"/>
        </w:rPr>
        <w:t xml:space="preserve">¶1</w:t>
      </w:r>
      <w:r>
        <w:rPr>
          <w:lang w:val="en"/>
        </w:rPr>
        <w:t xml:space="preserve"> </w:t>
      </w:r>
      <w:r>
        <w:rPr>
          <w:lang w:val="en"/>
        </w:rPr>
        <w:t xml:space="preserve">All circulars follow a standard structure to ensure consistency for readers. This section specifies the template for circular authors.</w:t>
      </w:r>
    </w:p>
    <w:bookmarkStart w:id="56" w:name="X96fdec9446e34a988a287fa6515c9a651f9bbb3"/>
    <w:p>
      <w:pPr>
        <w:pStyle w:val="Heading3"/>
      </w:pPr>
      <w:r>
        <w:rPr>
          <w:lang w:val="en"/>
        </w:rPr>
        <w:t xml:space="preserve">4.1</w:t>
      </w:r>
      <w:r>
        <w:rPr>
          <w:lang w:val="en"/>
        </w:rPr>
        <w:t xml:space="preserve"> </w:t>
      </w:r>
      <w:r>
        <w:rPr>
          <w:lang w:val="en"/>
        </w:rPr>
        <w:t xml:space="preserve">YAML Frontmatter Specification</w:t>
      </w:r>
    </w:p>
    <w:p>
      <w:pPr>
        <w:pStyle w:val="FirstParagraph"/>
      </w:pPr>
      <w:hyperlink w:anchor="X96fdec9446e34a988a287fa6515c9a651f9bbb3">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YAML Frontmatter Specification”</w:t>
        </w:r>
      </w:hyperlink>
    </w:p>
    <w:bookmarkEnd w:id="56"/>
    <w:p>
      <w:pPr>
        <w:pStyle w:val="BodyText"/>
      </w:pPr>
      <w:r>
        <w:rPr>
          <w:lang w:val="en"/>
        </w:rPr>
        <w:t xml:space="preserve">¶1</w:t>
      </w:r>
      <w:r>
        <w:rPr>
          <w:lang w:val="en"/>
        </w:rPr>
        <w:t xml:space="preserve"> </w:t>
      </w:r>
      <w:r>
        <w:rPr>
          <w:lang w:val="en"/>
        </w:rPr>
        <w:t xml:space="preserve">Every circular begins with machine-readable YAML frontmatter:</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---title: "Circular Title"       # Required: Full titlecircular_id: TG-X.Y           # Required: Circular identifierbadge: Applied                # Required: Core | Applied | Emergingversion: "0.1.0"              # Required: consultation version (0.Major.Minor)circular_status: Draft        # Required: Draft | Completed | Plannedlast_updated: Month Year      # Required: e.g. May 2026prerequisites:                # Required: List of prerequisite circular IDs (empty array [] if none)  - TG-0.1  - TG-X.Zenables:                      # Optional: Circulars this one enables  - TG-A.B---</w:t>
            </w:r>
          </w:p>
        </w:tc>
        <w:tc>
          <w:tcPr/>
          <w:p/>
        </w:tc>
      </w:tr>
    </w:tbl>
    <w:p>
      <w:pPr>
        <w:pStyle w:val="FirstParagraph"/>
      </w:pPr>
      <w:r>
        <w:rPr>
          <w:lang w:val="en"/>
        </w:rPr>
        <w:t xml:space="preserve">¶2</w:t>
      </w:r>
      <w:r>
        <w:rPr>
          <w:lang w:val="en"/>
        </w:rPr>
        <w:t xml:space="preserve"> </w:t>
      </w:r>
      <w:r>
        <w:rPr>
          <w:bCs/>
          <w:b/>
          <w:lang w:val="en"/>
        </w:rPr>
        <w:t xml:space="preserve">Editorial fields only.</w:t>
      </w:r>
      <w:r>
        <w:rPr>
          <w:lang w:val="en"/>
        </w:rPr>
        <w:t xml:space="preserve"> </w:t>
      </w:r>
      <w:r>
        <w:rPr>
          <w:lang w:val="en"/>
        </w:rPr>
        <w:t xml:space="preserve">The block above is what a circular author writes. Each page also</w:t>
      </w:r>
      <w:r>
        <w:rPr>
          <w:lang w:val="en"/>
        </w:rPr>
        <w:t xml:space="preserve"> </w:t>
      </w:r>
      <w:r>
        <w:rPr>
          <w:lang w:val="en"/>
        </w:rPr>
        <w:t xml:space="preserve">carries platform frontmatter —</w:t>
      </w:r>
      <w:r>
        <w:rPr>
          <w:lang w:val="en"/>
        </w:rPr>
        <w:t xml:space="preserve"> </w:t>
      </w:r>
      <w:r>
        <w:rPr>
          <w:rStyle w:val="VerbatimChar"/>
          <w:lang w:val="en"/>
        </w:rPr>
        <w:t xml:space="preserve">project</w:t>
      </w:r>
      <w:r>
        <w:rPr>
          <w:lang w:val="en"/>
        </w:rPr>
        <w:t xml:space="preserve">,</w:t>
      </w:r>
      <w:r>
        <w:rPr>
          <w:lang w:val="en"/>
        </w:rPr>
        <w:t xml:space="preserve"> </w:t>
      </w:r>
      <w:r>
        <w:rPr>
          <w:rStyle w:val="VerbatimChar"/>
          <w:lang w:val="en"/>
        </w:rPr>
        <w:t xml:space="preserve">visibility</w:t>
      </w:r>
      <w:r>
        <w:rPr>
          <w:lang w:val="en"/>
        </w:rPr>
        <w:t xml:space="preserve">,</w:t>
      </w:r>
      <w:r>
        <w:rPr>
          <w:lang w:val="en"/>
        </w:rPr>
        <w:t xml:space="preserve"> </w:t>
      </w:r>
      <w:r>
        <w:rPr>
          <w:rStyle w:val="VerbatimChar"/>
          <w:lang w:val="en"/>
        </w:rPr>
        <w:t xml:space="preserve">status</w:t>
      </w:r>
      <w:r>
        <w:rPr>
          <w:lang w:val="en"/>
        </w:rPr>
        <w:t xml:space="preserve">,</w:t>
      </w:r>
      <w:r>
        <w:rPr>
          <w:lang w:val="en"/>
        </w:rPr>
        <w:t xml:space="preserve"> </w:t>
      </w:r>
      <w:r>
        <w:rPr>
          <w:rStyle w:val="VerbatimChar"/>
          <w:lang w:val="en"/>
        </w:rPr>
        <w:t xml:space="preserve">content_type</w:t>
      </w:r>
      <w:r>
        <w:rPr>
          <w:lang w:val="en"/>
        </w:rPr>
        <w:t xml:space="preserve">,</w:t>
      </w:r>
      <w:r>
        <w:rPr>
          <w:lang w:val="en"/>
        </w:rPr>
        <w:t xml:space="preserve"> </w:t>
      </w:r>
      <w:r>
        <w:rPr>
          <w:rStyle w:val="VerbatimChar"/>
          <w:lang w:val="en"/>
        </w:rPr>
        <w:t xml:space="preserve">brand</w:t>
      </w:r>
      <w:r>
        <w:rPr>
          <w:lang w:val="en"/>
        </w:rPr>
        <w:t xml:space="preserve">,</w:t>
      </w:r>
      <w:r>
        <w:rPr>
          <w:lang w:val="en"/>
        </w:rPr>
        <w:t xml:space="preserve"> </w:t>
      </w:r>
      <w:r>
        <w:rPr>
          <w:rStyle w:val="VerbatimChar"/>
          <w:lang w:val="en"/>
        </w:rPr>
        <w:t xml:space="preserve">sidebar_category</w:t>
      </w:r>
      <w:r>
        <w:rPr>
          <w:lang w:val="en"/>
        </w:rPr>
        <w:t xml:space="preserve"> </w:t>
      </w:r>
      <w:r>
        <w:rPr>
          <w:lang w:val="en"/>
        </w:rPr>
        <w:t xml:space="preserve">and</w:t>
      </w:r>
      <w:r>
        <w:rPr>
          <w:lang w:val="en"/>
        </w:rPr>
        <w:t xml:space="preserve"> </w:t>
      </w:r>
      <w:r>
        <w:rPr>
          <w:rStyle w:val="VerbatimChar"/>
          <w:lang w:val="en"/>
        </w:rPr>
        <w:t xml:space="preserve">sidebar.order</w:t>
      </w:r>
      <w:r>
        <w:rPr>
          <w:lang w:val="en"/>
        </w:rPr>
        <w:t xml:space="preserve"> </w:t>
      </w:r>
      <w:r>
        <w:rPr>
          <w:lang w:val="en"/>
        </w:rPr>
        <w:t xml:space="preserve">— which the</w:t>
      </w:r>
      <w:r>
        <w:rPr>
          <w:lang w:val="en"/>
        </w:rPr>
        <w:t xml:space="preserve"> </w:t>
      </w:r>
      <w:r>
        <w:rPr>
          <w:rStyle w:val="VerbatimChar"/>
          <w:lang w:val="en"/>
        </w:rPr>
        <w:t xml:space="preserve">/new-page</w:t>
      </w:r>
      <w:r>
        <w:rPr>
          <w:lang w:val="en"/>
        </w:rPr>
        <w:t xml:space="preserve"> </w:t>
      </w:r>
      <w:r>
        <w:rPr>
          <w:lang w:val="en"/>
        </w:rPr>
        <w:t xml:space="preserve">skill sets and authors do not</w:t>
      </w:r>
      <w:r>
        <w:rPr>
          <w:lang w:val="en"/>
        </w:rPr>
        <w:t xml:space="preserve"> </w:t>
      </w:r>
      <w:r>
        <w:rPr>
          <w:lang w:val="en"/>
        </w:rPr>
        <w:t xml:space="preserve">hand-edit.</w:t>
      </w:r>
    </w:p>
    <w:p>
      <w:pPr>
        <w:pStyle w:val="BodyText"/>
      </w:pPr>
      <w:r>
        <w:rPr>
          <w:lang w:val="en"/>
        </w:rPr>
        <w:t xml:space="preserve">¶3</w:t>
      </w:r>
      <w:r>
        <w:rPr>
          <w:lang w:val="en"/>
        </w:rPr>
        <w:t xml:space="preserve"> </w:t>
      </w:r>
      <w:r>
        <w:rPr>
          <w:rStyle w:val="VerbatimChar"/>
          <w:bCs/>
          <w:b/>
          <w:lang w:val="en"/>
        </w:rPr>
        <w:t xml:space="preserve">status</w:t>
      </w:r>
      <w:r>
        <w:rPr>
          <w:bCs/>
          <w:b/>
          <w:lang w:val="en"/>
        </w:rPr>
        <w:t xml:space="preserve"> </w:t>
      </w:r>
      <w:r>
        <w:rPr>
          <w:bCs/>
          <w:b/>
          <w:lang w:val="en"/>
        </w:rPr>
        <w:t xml:space="preserve">and</w:t>
      </w:r>
      <w:r>
        <w:rPr>
          <w:bCs/>
          <w:b/>
          <w:lang w:val="en"/>
        </w:rPr>
        <w:t xml:space="preserve"> </w:t>
      </w:r>
      <w:r>
        <w:rPr>
          <w:rStyle w:val="VerbatimChar"/>
          <w:bCs/>
          <w:b/>
          <w:lang w:val="en"/>
        </w:rPr>
        <w:t xml:space="preserve">circular_status</w:t>
      </w:r>
      <w:r>
        <w:rPr>
          <w:bCs/>
          <w:b/>
          <w:lang w:val="en"/>
        </w:rPr>
        <w:t xml:space="preserve"> </w:t>
      </w:r>
      <w:r>
        <w:rPr>
          <w:bCs/>
          <w:b/>
          <w:lang w:val="en"/>
        </w:rPr>
        <w:t xml:space="preserve">are different fields.</w:t>
      </w:r>
      <w:r>
        <w:rPr>
          <w:lang w:val="en"/>
        </w:rPr>
        <w:t xml:space="preserve"> </w:t>
      </w:r>
      <w:r>
        <w:rPr>
          <w:rStyle w:val="VerbatimChar"/>
          <w:lang w:val="en"/>
        </w:rPr>
        <w:t xml:space="preserve">status</w:t>
      </w:r>
      <w:r>
        <w:rPr>
          <w:lang w:val="en"/>
        </w:rPr>
        <w:t xml:space="preserve"> </w:t>
      </w:r>
      <w:r>
        <w:rPr>
          <w:lang w:val="en"/>
        </w:rPr>
        <w:t xml:space="preserve">is the platform publish gate</w:t>
      </w:r>
      <w:r>
        <w:rPr>
          <w:lang w:val="en"/>
        </w:rPr>
        <w:t xml:space="preserve"> </w:t>
      </w:r>
      <w:r>
        <w:rPr>
          <w:lang w:val="en"/>
        </w:rPr>
        <w:t xml:space="preserve">(</w:t>
      </w:r>
      <w:r>
        <w:rPr>
          <w:rStyle w:val="VerbatimChar"/>
          <w:lang w:val="en"/>
        </w:rPr>
        <w:t xml:space="preserve">working</w:t>
      </w:r>
      <w:r>
        <w:rPr>
          <w:lang w:val="en"/>
        </w:rPr>
        <w:t xml:space="preserve"> </w:t>
      </w:r>
      <w:r>
        <w:rPr>
          <w:lang w:val="en"/>
        </w:rPr>
        <w:t xml:space="preserve">or</w:t>
      </w:r>
      <w:r>
        <w:rPr>
          <w:lang w:val="en"/>
        </w:rPr>
        <w:t xml:space="preserve"> </w:t>
      </w:r>
      <w:r>
        <w:rPr>
          <w:rStyle w:val="VerbatimChar"/>
          <w:lang w:val="en"/>
        </w:rPr>
        <w:t xml:space="preserve">published</w:t>
      </w:r>
      <w:r>
        <w:rPr>
          <w:lang w:val="en"/>
        </w:rPr>
        <w:t xml:space="preserve">) and governs whether a page is built at all.</w:t>
      </w:r>
      <w:r>
        <w:rPr>
          <w:lang w:val="en"/>
        </w:rPr>
        <w:t xml:space="preserve"> </w:t>
      </w:r>
      <w:r>
        <w:rPr>
          <w:rStyle w:val="VerbatimChar"/>
          <w:lang w:val="en"/>
        </w:rPr>
        <w:t xml:space="preserve">circular_status</w:t>
      </w:r>
      <w:r>
        <w:rPr>
          <w:lang w:val="en"/>
        </w:rPr>
        <w:t xml:space="preserve"> </w:t>
      </w:r>
      <w:r>
        <w:rPr>
          <w:lang w:val="en"/>
        </w:rPr>
        <w:t xml:space="preserve">is the</w:t>
      </w:r>
      <w:r>
        <w:rPr>
          <w:lang w:val="en"/>
        </w:rPr>
        <w:t xml:space="preserve"> </w:t>
      </w:r>
      <w:r>
        <w:rPr>
          <w:lang w:val="en"/>
        </w:rPr>
        <w:t xml:space="preserve">editorial state (</w:t>
      </w:r>
      <w:r>
        <w:rPr>
          <w:rStyle w:val="VerbatimChar"/>
          <w:lang w:val="en"/>
        </w:rPr>
        <w:t xml:space="preserve">Draft</w:t>
      </w:r>
      <w:r>
        <w:rPr>
          <w:lang w:val="en"/>
        </w:rPr>
        <w:t xml:space="preserve">,</w:t>
      </w:r>
      <w:r>
        <w:rPr>
          <w:lang w:val="en"/>
        </w:rPr>
        <w:t xml:space="preserve"> </w:t>
      </w:r>
      <w:r>
        <w:rPr>
          <w:rStyle w:val="VerbatimChar"/>
          <w:lang w:val="en"/>
        </w:rPr>
        <w:t xml:space="preserve">Completed</w:t>
      </w:r>
      <w:r>
        <w:rPr>
          <w:lang w:val="en"/>
        </w:rPr>
        <w:t xml:space="preserve">,</w:t>
      </w:r>
      <w:r>
        <w:rPr>
          <w:lang w:val="en"/>
        </w:rPr>
        <w:t xml:space="preserve"> </w:t>
      </w:r>
      <w:r>
        <w:rPr>
          <w:rStyle w:val="VerbatimChar"/>
          <w:lang w:val="en"/>
        </w:rPr>
        <w:t xml:space="preserve">Planned</w:t>
      </w:r>
      <w:r>
        <w:rPr>
          <w:lang w:val="en"/>
        </w:rPr>
        <w:t xml:space="preserve">) shown in the metadata table. A page can be</w:t>
      </w:r>
      <w:r>
        <w:rPr>
          <w:lang w:val="en"/>
        </w:rPr>
        <w:t xml:space="preserve"> </w:t>
      </w:r>
      <w:r>
        <w:rPr>
          <w:rStyle w:val="VerbatimChar"/>
          <w:lang w:val="en"/>
        </w:rPr>
        <w:t xml:space="preserve">status: published</w:t>
      </w:r>
      <w:r>
        <w:rPr>
          <w:lang w:val="en"/>
        </w:rPr>
        <w:t xml:space="preserve"> </w:t>
      </w:r>
      <w:r>
        <w:rPr>
          <w:lang w:val="en"/>
        </w:rPr>
        <w:t xml:space="preserve">and</w:t>
      </w:r>
      <w:r>
        <w:rPr>
          <w:lang w:val="en"/>
        </w:rPr>
        <w:t xml:space="preserve"> </w:t>
      </w:r>
      <w:r>
        <w:rPr>
          <w:rStyle w:val="VerbatimChar"/>
          <w:lang w:val="en"/>
        </w:rPr>
        <w:t xml:space="preserve">circular_status: Draft</w:t>
      </w:r>
      <w:r>
        <w:rPr>
          <w:lang w:val="en"/>
        </w:rPr>
        <w:t xml:space="preserve"> </w:t>
      </w:r>
      <w:r>
        <w:rPr>
          <w:lang w:val="en"/>
        </w:rPr>
        <w:t xml:space="preserve">at the same time — that is the normal state for</w:t>
      </w:r>
      <w:r>
        <w:rPr>
          <w:lang w:val="en"/>
        </w:rPr>
        <w:t xml:space="preserve"> </w:t>
      </w:r>
      <w:r>
        <w:rPr>
          <w:lang w:val="en"/>
        </w:rPr>
        <w:t xml:space="preserve">a circular out for consultation.</w:t>
      </w:r>
    </w:p>
    <w:p>
      <w:pPr>
        <w:pStyle w:val="BodyText"/>
      </w:pPr>
      <w:r>
        <w:rPr>
          <w:lang w:val="en"/>
        </w:rPr>
        <w:t xml:space="preserve">¶4</w:t>
      </w:r>
      <w:r>
        <w:rPr>
          <w:lang w:val="en"/>
        </w:rPr>
        <w:t xml:space="preserve"> </w:t>
      </w:r>
      <w:r>
        <w:rPr>
          <w:bCs/>
          <w:b/>
          <w:lang w:val="en"/>
        </w:rPr>
        <w:t xml:space="preserve">Note on</w:t>
      </w:r>
      <w:r>
        <w:rPr>
          <w:bCs/>
          <w:b/>
          <w:lang w:val="en"/>
        </w:rPr>
        <w:t xml:space="preserve"> </w:t>
      </w:r>
      <w:r>
        <w:rPr>
          <w:rStyle w:val="VerbatimChar"/>
          <w:bCs/>
          <w:b/>
          <w:lang w:val="en"/>
        </w:rPr>
        <w:t xml:space="preserve">badge</w:t>
      </w:r>
      <w:r>
        <w:rPr>
          <w:bCs/>
          <w:b/>
          <w:lang w:val="en"/>
        </w:rPr>
        <w:t xml:space="preserve">:</w:t>
      </w:r>
      <w:r>
        <w:rPr>
          <w:lang w:val="en"/>
        </w:rPr>
        <w:t xml:space="preserve"> </w:t>
      </w:r>
      <w:r>
        <w:rPr>
          <w:lang w:val="en"/>
        </w:rPr>
        <w:t xml:space="preserve">See Section 3.3 for stability classification definitions.</w:t>
      </w:r>
      <w:r>
        <w:rPr>
          <w:lang w:val="en"/>
        </w:rPr>
        <w:t xml:space="preserve"> </w:t>
      </w:r>
      <w:r>
        <w:rPr>
          <w:bCs/>
          <w:b/>
          <w:lang w:val="en"/>
        </w:rPr>
        <w:t xml:space="preserve">Note on publication version:</w:t>
      </w:r>
      <w:r>
        <w:rPr>
          <w:lang w:val="en"/>
        </w:rPr>
        <w:t xml:space="preserve"> </w:t>
      </w:r>
      <w:r>
        <w:rPr>
          <w:lang w:val="en"/>
        </w:rPr>
        <w:t xml:space="preserve">The</w:t>
      </w:r>
      <w:r>
        <w:rPr>
          <w:lang w:val="en"/>
        </w:rPr>
        <w:t xml:space="preserve"> </w:t>
      </w:r>
      <w:r>
        <w:rPr>
          <w:rStyle w:val="VerbatimChar"/>
          <w:lang w:val="en"/>
        </w:rPr>
        <w:t xml:space="preserve">version</w:t>
      </w:r>
      <w:r>
        <w:rPr>
          <w:lang w:val="en"/>
        </w:rPr>
        <w:t xml:space="preserve"> </w:t>
      </w:r>
      <w:r>
        <w:rPr>
          <w:lang w:val="en"/>
        </w:rPr>
        <w:t xml:space="preserve">field reflects the public publication version, not the internal pipeline draft count. Pipeline drafts (e.g., draft-v4, draft-v6) are production artefacts only, and the publication version is confirmed by the Secretariat before a circular moves to Completed status.</w:t>
      </w:r>
    </w:p>
    <w:bookmarkStart w:id="59" w:name="X8edb04e3184993f7c93844d4e7b0ffff18c1a40"/>
    <w:p>
      <w:pPr>
        <w:pStyle w:val="Heading3"/>
      </w:pPr>
      <w:r>
        <w:rPr>
          <w:lang w:val="en"/>
        </w:rPr>
        <w:t xml:space="preserve">4.2</w:t>
      </w:r>
      <w:r>
        <w:rPr>
          <w:lang w:val="en"/>
        </w:rPr>
        <w:t xml:space="preserve"> </w:t>
      </w:r>
      <w:r>
        <w:rPr>
          <w:lang w:val="en"/>
        </w:rPr>
        <w:t xml:space="preserve">Metadata Display Block</w:t>
      </w:r>
    </w:p>
    <w:p>
      <w:pPr>
        <w:pStyle w:val="FirstParagraph"/>
      </w:pPr>
      <w:hyperlink w:anchor="X8edb04e3184993f7c93844d4e7b0ffff18c1a40">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“4.2 Metadata Display Block”</w:t>
        </w:r>
      </w:hyperlink>
    </w:p>
    <w:bookmarkEnd w:id="59"/>
    <w:p>
      <w:pPr>
        <w:pStyle w:val="BodyText"/>
      </w:pPr>
      <w:r>
        <w:rPr>
          <w:lang w:val="en"/>
        </w:rPr>
        <w:t xml:space="preserve">¶1</w:t>
      </w:r>
      <w:r>
        <w:rPr>
          <w:lang w:val="en"/>
        </w:rPr>
        <w:t xml:space="preserve"> </w:t>
      </w:r>
      <w:r>
        <w:rPr>
          <w:lang w:val="en"/>
        </w:rPr>
        <w:t xml:space="preserve">The site renders a metadata table automatically from YAML frontmatter (</w:t>
      </w:r>
      <w:r>
        <w:rPr>
          <w:rStyle w:val="VerbatimChar"/>
          <w:lang w:val="en"/>
        </w:rPr>
        <w:t xml:space="preserve">circular_id</w:t>
      </w:r>
      <w:r>
        <w:rPr>
          <w:lang w:val="en"/>
        </w:rPr>
        <w:t xml:space="preserve">,</w:t>
      </w:r>
      <w:r>
        <w:rPr>
          <w:lang w:val="en"/>
        </w:rPr>
        <w:t xml:space="preserve"> </w:t>
      </w:r>
      <w:r>
        <w:rPr>
          <w:rStyle w:val="VerbatimChar"/>
          <w:lang w:val="en"/>
        </w:rPr>
        <w:t xml:space="preserve">version</w:t>
      </w:r>
      <w:r>
        <w:rPr>
          <w:lang w:val="en"/>
        </w:rPr>
        <w:t xml:space="preserve">,</w:t>
      </w:r>
      <w:r>
        <w:rPr>
          <w:lang w:val="en"/>
        </w:rPr>
        <w:t xml:space="preserve"> </w:t>
      </w:r>
      <w:r>
        <w:rPr>
          <w:rStyle w:val="VerbatimChar"/>
          <w:lang w:val="en"/>
        </w:rPr>
        <w:t xml:space="preserve">badge</w:t>
      </w:r>
      <w:r>
        <w:rPr>
          <w:lang w:val="en"/>
        </w:rPr>
        <w:t xml:space="preserve">,</w:t>
      </w:r>
      <w:r>
        <w:rPr>
          <w:lang w:val="en"/>
        </w:rPr>
        <w:t xml:space="preserve"> </w:t>
      </w:r>
      <w:r>
        <w:rPr>
          <w:rStyle w:val="VerbatimChar"/>
          <w:lang w:val="en"/>
        </w:rPr>
        <w:t xml:space="preserve">circular_status</w:t>
      </w:r>
      <w:r>
        <w:rPr>
          <w:lang w:val="en"/>
        </w:rPr>
        <w:t xml:space="preserve">,</w:t>
      </w:r>
      <w:r>
        <w:rPr>
          <w:lang w:val="en"/>
        </w:rPr>
        <w:t xml:space="preserve"> </w:t>
      </w:r>
      <w:r>
        <w:rPr>
          <w:rStyle w:val="VerbatimChar"/>
          <w:lang w:val="en"/>
        </w:rPr>
        <w:t xml:space="preserve">last_updated</w:t>
      </w:r>
      <w:r>
        <w:rPr>
          <w:lang w:val="en"/>
        </w:rPr>
        <w:t xml:space="preserve">). Authors do not hand-write the display block in the markdown body.</w:t>
      </w:r>
    </w:p>
    <w:p>
      <w:pPr>
        <w:pStyle w:val="BodyText"/>
      </w:pPr>
      <w:r>
        <w:rPr>
          <w:lang w:val="en"/>
        </w:rPr>
        <w:t xml:space="preserve">¶2</w:t>
      </w:r>
      <w:r>
        <w:rPr>
          <w:lang w:val="en"/>
        </w:rPr>
        <w:t xml:space="preserve"> </w:t>
      </w:r>
      <w:r>
        <w:rPr>
          <w:lang w:val="en"/>
        </w:rPr>
        <w:t xml:space="preserve">Required frontmatter fields for the metadata table:</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circular_id: TG-X.Yversion: "0.1.0"badge: Applied                # Core | Applied | Emergingcircular_status: Draft        # Draft | Completed | Plannedlast_updated: Month Year      # e.g. May 2026</w:t>
            </w:r>
          </w:p>
        </w:tc>
        <w:tc>
          <w:tcPr/>
          <w:p/>
        </w:tc>
      </w:tr>
    </w:tbl>
    <w:p>
      <w:pPr>
        <w:pStyle w:val="FirstParagraph"/>
      </w:pPr>
      <w:r>
        <w:rPr>
          <w:lang w:val="en"/>
        </w:rPr>
        <w:t xml:space="preserve">¶3</w:t>
      </w:r>
      <w:r>
        <w:rPr>
          <w:lang w:val="en"/>
        </w:rPr>
        <w:t xml:space="preserve"> </w:t>
      </w:r>
      <w:r>
        <w:rPr>
          <w:bCs/>
          <w:b/>
          <w:lang w:val="en"/>
        </w:rPr>
        <w:t xml:space="preserve">Note on Last Updated:</w:t>
      </w:r>
      <w:r>
        <w:rPr>
          <w:lang w:val="en"/>
        </w:rPr>
        <w:t xml:space="preserve"> </w:t>
      </w:r>
      <w:r>
        <w:rPr>
          <w:lang w:val="en"/>
        </w:rPr>
        <w:t xml:space="preserve">Manually maintained by the author at publication time.</w:t>
      </w:r>
    </w:p>
    <w:bookmarkStart w:id="62" w:name="X7f252f06b9e9243f674b7d917ca7e068f31ade6"/>
    <w:p>
      <w:pPr>
        <w:pStyle w:val="Heading3"/>
      </w:pPr>
      <w:r>
        <w:rPr>
          <w:lang w:val="en"/>
        </w:rPr>
        <w:t xml:space="preserve">4.3</w:t>
      </w:r>
      <w:r>
        <w:rPr>
          <w:lang w:val="en"/>
        </w:rPr>
        <w:t xml:space="preserve"> </w:t>
      </w:r>
      <w:r>
        <w:rPr>
          <w:lang w:val="en"/>
        </w:rPr>
        <w:t xml:space="preserve">Standard Section Structure</w:t>
      </w:r>
    </w:p>
    <w:p>
      <w:pPr>
        <w:pStyle w:val="FirstParagraph"/>
      </w:pPr>
      <w:hyperlink w:anchor="X7f252f06b9e9243f674b7d917ca7e068f31ade6">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“4.3 Standard Section Structure”</w:t>
        </w:r>
      </w:hyperlink>
    </w:p>
    <w:bookmarkEnd w:id="62"/>
    <w:bookmarkStart w:id="65" w:name="standard-circular-template-sections-14-6"/>
    <w:p>
      <w:pPr>
        <w:pStyle w:val="Heading4"/>
      </w:pPr>
      <w:r>
        <w:rPr>
          <w:lang w:val="en"/>
        </w:rPr>
        <w:t xml:space="preserve">Standard Circular Template (Sections 1—4, 6)</w:t>
      </w:r>
    </w:p>
    <w:p>
      <w:pPr>
        <w:pStyle w:val="FirstParagraph"/>
      </w:pPr>
      <w:hyperlink w:anchor="standard-circular-template-sections-14-6">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“Standard Circular Template (Sections 1—4, 6)”</w:t>
        </w:r>
      </w:hyperlink>
    </w:p>
    <w:bookmarkEnd w:id="65"/>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 Circular Title</w:t>
            </w:r>
            <w:r>
              <w:br/>
            </w:r>
            <w:r>
              <w:rPr>
                <w:rStyle w:val="VerbatimChar"/>
                <w:lang w:val="en"/>
              </w:rPr>
              <w:t xml:space="preserve">## 1. Outcome[What readers will achieve -- 1-2 paragraphs]</w:t>
            </w:r>
            <w:r>
              <w:br/>
            </w:r>
            <w:r>
              <w:rPr>
                <w:rStyle w:val="VerbatimChar"/>
                <w:lang w:val="en"/>
              </w:rPr>
              <w:t xml:space="preserve">## 2. Requirements[Prerequisites with hyperlinks to other circulars]</w:t>
            </w:r>
            <w:r>
              <w:br/>
            </w:r>
            <w:r>
              <w:rPr>
                <w:rStyle w:val="VerbatimChar"/>
                <w:lang w:val="en"/>
              </w:rPr>
              <w:t xml:space="preserve">## 3. Guidance Material### 3.1 [Topic]### 3.2 [Topic]...[Core methodology -- bulk of content]</w:t>
            </w:r>
            <w:r>
              <w:br/>
            </w:r>
            <w:r>
              <w:rPr>
                <w:rStyle w:val="VerbatimChar"/>
                <w:lang w:val="en"/>
              </w:rPr>
              <w:t xml:space="preserve">## 4. Acknowledgements**Authors:** [To be confirmed]**Reviewers:** [To be confirmed]</w:t>
            </w:r>
            <w:r>
              <w:br/>
            </w:r>
            <w:r>
              <w:rPr>
                <w:rStyle w:val="VerbatimChar"/>
                <w:lang w:val="en"/>
              </w:rPr>
              <w:t xml:space="preserve">## 5. References[Footnotes or bibliography]</w:t>
            </w:r>
            <w:r>
              <w:br/>
            </w:r>
            <w:r>
              <w:rPr>
                <w:rStyle w:val="VerbatimChar"/>
                <w:lang w:val="en"/>
              </w:rPr>
              <w:t xml:space="preserve">## Appendixes (if needed)### A. Worked Example### B. Sample Code### C. Detailed Tables</w:t>
            </w:r>
          </w:p>
        </w:tc>
        <w:tc>
          <w:tcPr/>
          <w:p/>
        </w:tc>
      </w:tr>
    </w:tbl>
    <w:p>
      <w:pPr>
        <w:pStyle w:val="FirstParagraph"/>
      </w:pPr>
      <w:r>
        <w:rPr>
          <w:lang w:val="en"/>
        </w:rPr>
        <w:t xml:space="preserve">¶1</w:t>
      </w:r>
      <w:r>
        <w:rPr>
          <w:lang w:val="en"/>
        </w:rPr>
        <w:t xml:space="preserve"> </w:t>
      </w:r>
      <w:r>
        <w:rPr>
          <w:bCs/>
          <w:b/>
          <w:lang w:val="en"/>
        </w:rPr>
        <w:t xml:space="preserve">Note on numbering:</w:t>
      </w:r>
      <w:r>
        <w:rPr>
          <w:lang w:val="en"/>
        </w:rPr>
        <w:t xml:space="preserve"> </w:t>
      </w:r>
      <w:r>
        <w:rPr>
          <w:lang w:val="en"/>
        </w:rPr>
        <w:t xml:space="preserve">Acknowledgements is always second-to-last and References always last, numbered consecutively after whatever Guidance content is present. An optional “Limitations and Considerations” section may appear between Guidance Material and Acknowledgements, in which case it becomes Section 4, whilst Acknowledgements and References shift to Sections 5 and 6 respectively.</w:t>
      </w:r>
    </w:p>
    <w:bookmarkStart w:id="68" w:name="case-study-template-section-5"/>
    <w:p>
      <w:pPr>
        <w:pStyle w:val="Heading4"/>
      </w:pPr>
      <w:r>
        <w:rPr>
          <w:lang w:val="en"/>
        </w:rPr>
        <w:t xml:space="preserve">Case Study Template (Section 5)</w:t>
      </w:r>
    </w:p>
    <w:p>
      <w:pPr>
        <w:pStyle w:val="FirstParagraph"/>
      </w:pPr>
      <w:hyperlink w:anchor="case-study-template-section-5">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“Case Study Template (Section 5)”</w:t>
        </w:r>
      </w:hyperlink>
    </w:p>
    <w:bookmarkEnd w:id="68"/>
    <w:p>
      <w:pPr>
        <w:pStyle w:val="BodyText"/>
      </w:pPr>
      <w:r>
        <w:rPr>
          <w:lang w:val="en"/>
        </w:rPr>
        <w:t xml:space="preserve">¶1</w:t>
      </w:r>
      <w:r>
        <w:rPr>
          <w:lang w:val="en"/>
        </w:rPr>
        <w:t xml:space="preserve"> </w:t>
      </w:r>
      <w:r>
        <w:rPr>
          <w:lang w:val="en"/>
        </w:rPr>
        <w:t xml:space="preserve">Section 5 circulars use an adapted structure for country/regional case studies:</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 [Country/Region]</w:t>
            </w:r>
            <w:r>
              <w:br/>
            </w:r>
            <w:r>
              <w:rPr>
                <w:rStyle w:val="VerbatimChar"/>
                <w:lang w:val="en"/>
              </w:rPr>
              <w:t xml:space="preserve">## 1. Outcome## 2. Requirements## 3. Country/Regional Context## 4. Implementation Approach### 4.1 Institutional Arrangements### 4.2 Data Sources### 4.3 Methods Applied## 5. Accounts Developed## 6. Decision Applications## 7. Lessons Learned### 7.1 Successes### 7.2 Challenges### 7.3 Recommendations## 8. Acknowledgements## 9. References## Appendixes</w:t>
            </w:r>
          </w:p>
        </w:tc>
        <w:tc>
          <w:tcPr/>
          <w:p/>
        </w:tc>
      </w:tr>
    </w:tbl>
    <w:p>
      <w:pPr>
        <w:pStyle w:val="FirstParagraph"/>
      </w:pPr>
      <w:r>
        <w:rPr>
          <w:lang w:val="en"/>
        </w:rPr>
        <w:t xml:space="preserve">¶2</w:t>
      </w:r>
      <w:r>
        <w:rPr>
          <w:lang w:val="en"/>
        </w:rPr>
        <w:t xml:space="preserve"> </w:t>
      </w:r>
      <w:r>
        <w:rPr>
          <w:bCs/>
          <w:b/>
          <w:lang w:val="en"/>
        </w:rPr>
        <w:t xml:space="preserve">Note:</w:t>
      </w:r>
      <w:r>
        <w:rPr>
          <w:lang w:val="en"/>
        </w:rPr>
        <w:t xml:space="preserve"> </w:t>
      </w:r>
      <w:r>
        <w:rPr>
          <w:lang w:val="en"/>
        </w:rPr>
        <w:t xml:space="preserve">This template has not yet been validated against compiled Section 5 drafts. Authors should cross-check against TG-5.x working drafts when available.</w:t>
      </w:r>
    </w:p>
    <w:bookmarkStart w:id="71" w:name="front-matter-template-section-0"/>
    <w:p>
      <w:pPr>
        <w:pStyle w:val="Heading4"/>
      </w:pPr>
      <w:r>
        <w:rPr>
          <w:lang w:val="en"/>
        </w:rPr>
        <w:t xml:space="preserve">Front Matter Template (Section 0)</w:t>
      </w:r>
    </w:p>
    <w:p>
      <w:pPr>
        <w:pStyle w:val="FirstParagraph"/>
      </w:pPr>
      <w:hyperlink w:anchor="front-matter-template-section-0">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“Front Matter Template (Section 0)”</w:t>
        </w:r>
      </w:hyperlink>
    </w:p>
    <w:bookmarkEnd w:id="71"/>
    <w:p>
      <w:pPr>
        <w:pStyle w:val="BodyText"/>
      </w:pPr>
      <w:r>
        <w:rPr>
          <w:lang w:val="en"/>
        </w:rPr>
        <w:t xml:space="preserve">¶1</w:t>
      </w:r>
      <w:r>
        <w:rPr>
          <w:lang w:val="en"/>
        </w:rPr>
        <w:t xml:space="preserve"> </w:t>
      </w:r>
      <w:r>
        <w:rPr>
          <w:lang w:val="en"/>
        </w:rPr>
        <w:t xml:space="preserve">Section 0 circulars have unique structures appropriate to their purpose:</w:t>
      </w:r>
    </w:p>
    <w:p>
      <w:pPr>
        <w:numPr>
          <w:ilvl w:val="0"/>
          <w:numId w:val="1008"/>
        </w:numPr>
        <w:pStyle w:val="Compact"/>
      </w:pPr>
      <w:r>
        <w:rPr>
          <w:lang w:val="en"/>
        </w:rPr>
        <w:t xml:space="preserve">¶2</w:t>
      </w:r>
      <w:r>
        <w:rPr>
          <w:lang w:val="en"/>
        </w:rPr>
        <w:t xml:space="preserve"> </w:t>
      </w:r>
      <w:r>
        <w:rPr>
          <w:bCs/>
          <w:b/>
          <w:lang w:val="en"/>
        </w:rPr>
        <w:t xml:space="preserve">0.1 General Introduction</w:t>
      </w:r>
      <w:r>
        <w:rPr>
          <w:lang w:val="en"/>
        </w:rPr>
        <w:t xml:space="preserve">: Extended conceptual content with figures</w:t>
      </w:r>
    </w:p>
    <w:p>
      <w:pPr>
        <w:numPr>
          <w:ilvl w:val="0"/>
          <w:numId w:val="1008"/>
        </w:numPr>
        <w:pStyle w:val="Compact"/>
      </w:pPr>
      <w:r>
        <w:rPr>
          <w:lang w:val="en"/>
        </w:rPr>
        <w:t xml:space="preserve">¶3</w:t>
      </w:r>
      <w:r>
        <w:rPr>
          <w:lang w:val="en"/>
        </w:rPr>
        <w:t xml:space="preserve"> </w:t>
      </w:r>
      <w:r>
        <w:rPr>
          <w:bCs/>
          <w:b/>
          <w:lang w:val="en"/>
        </w:rPr>
        <w:t xml:space="preserve">0.5 Navigating</w:t>
      </w:r>
      <w:r>
        <w:rPr>
          <w:lang w:val="en"/>
        </w:rPr>
        <w:t xml:space="preserve">: Primarily visual/tabular (dependency graphs, pathways)</w:t>
      </w:r>
    </w:p>
    <w:p>
      <w:pPr>
        <w:numPr>
          <w:ilvl w:val="0"/>
          <w:numId w:val="1008"/>
        </w:numPr>
        <w:pStyle w:val="Compact"/>
      </w:pPr>
      <w:r>
        <w:rPr>
          <w:lang w:val="en"/>
        </w:rPr>
        <w:t xml:space="preserve">¶4</w:t>
      </w:r>
      <w:r>
        <w:rPr>
          <w:lang w:val="en"/>
        </w:rPr>
        <w:t xml:space="preserve"> </w:t>
      </w:r>
      <w:r>
        <w:rPr>
          <w:bCs/>
          <w:b/>
          <w:lang w:val="en"/>
        </w:rPr>
        <w:t xml:space="preserve">0.6 Glossary</w:t>
      </w:r>
      <w:r>
        <w:rPr>
          <w:lang w:val="en"/>
        </w:rPr>
        <w:t xml:space="preserve">: Definition list format organised alphabetically</w:t>
      </w:r>
    </w:p>
    <w:p>
      <w:pPr>
        <w:numPr>
          <w:ilvl w:val="0"/>
          <w:numId w:val="1008"/>
        </w:numPr>
        <w:pStyle w:val="Compact"/>
      </w:pPr>
      <w:r>
        <w:rPr>
          <w:lang w:val="en"/>
        </w:rPr>
        <w:t xml:space="preserve">¶5</w:t>
      </w:r>
      <w:r>
        <w:rPr>
          <w:lang w:val="en"/>
        </w:rPr>
        <w:t xml:space="preserve"> </w:t>
      </w:r>
      <w:r>
        <w:rPr>
          <w:bCs/>
          <w:b/>
          <w:lang w:val="en"/>
        </w:rPr>
        <w:t xml:space="preserve">0.7 QA Principles</w:t>
      </w:r>
      <w:r>
        <w:rPr>
          <w:lang w:val="en"/>
        </w:rPr>
        <w:t xml:space="preserve">: Reference document format with standards citations</w:t>
      </w:r>
    </w:p>
    <w:p>
      <w:pPr>
        <w:pStyle w:val="FirstParagraph"/>
      </w:pPr>
      <w:r>
        <w:rPr>
          <w:lang w:val="en"/>
        </w:rPr>
        <w:t xml:space="preserve">¶6</w:t>
      </w:r>
      <w:r>
        <w:rPr>
          <w:lang w:val="en"/>
        </w:rPr>
        <w:t xml:space="preserve"> </w:t>
      </w:r>
      <w:r>
        <w:rPr>
          <w:lang w:val="en"/>
        </w:rPr>
        <w:t xml:space="preserve">Any Section 0 circular not listed above follows the Standard Circular Template.</w:t>
      </w:r>
    </w:p>
    <w:bookmarkStart w:id="74" w:name="X4787dc4e55c1dcd2d1ac71ed6043fbb41285a5d"/>
    <w:p>
      <w:pPr>
        <w:pStyle w:val="Heading3"/>
      </w:pPr>
      <w:r>
        <w:rPr>
          <w:lang w:val="en"/>
        </w:rPr>
        <w:t xml:space="preserve">4.4</w:t>
      </w:r>
      <w:r>
        <w:rPr>
          <w:lang w:val="en"/>
        </w:rPr>
        <w:t xml:space="preserve"> </w:t>
      </w:r>
      <w:r>
        <w:rPr>
          <w:lang w:val="en"/>
        </w:rPr>
        <w:t xml:space="preserve">Section Content Guidelines</w:t>
      </w:r>
    </w:p>
    <w:p>
      <w:pPr>
        <w:pStyle w:val="FirstParagraph"/>
      </w:pPr>
      <w:hyperlink w:anchor="X4787dc4e55c1dcd2d1ac71ed6043fbb41285a5d">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“4.4 Section Content Guidelines”</w:t>
        </w:r>
      </w:hyperlink>
    </w:p>
    <w:bookmarkEnd w:id="74"/>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Section</w:t>
            </w:r>
          </w:p>
        </w:tc>
        <w:tc>
          <w:tcPr/>
          <w:p>
            <w:pPr>
              <w:pStyle w:val="Compact"/>
              <w:jc w:val="left"/>
            </w:pPr>
            <w:r>
              <w:rPr>
                <w:lang w:val="en"/>
              </w:rPr>
              <w:t xml:space="preserve">Purpose</w:t>
            </w:r>
          </w:p>
        </w:tc>
        <w:tc>
          <w:tcPr/>
          <w:p>
            <w:pPr>
              <w:pStyle w:val="Compact"/>
              <w:jc w:val="left"/>
            </w:pPr>
            <w:r>
              <w:rPr>
                <w:lang w:val="en"/>
              </w:rPr>
              <w:t xml:space="preserve">Key requirements</w:t>
            </w:r>
          </w:p>
        </w:tc>
      </w:tr>
      <w:tr>
        <w:tc>
          <w:tcPr/>
          <w:p>
            <w:pPr>
              <w:pStyle w:val="Compact"/>
              <w:jc w:val="left"/>
            </w:pPr>
            <w:r>
              <w:rPr>
                <w:bCs/>
                <w:b/>
                <w:lang w:val="en"/>
              </w:rPr>
              <w:t xml:space="preserve">1. Outcome</w:t>
            </w:r>
          </w:p>
        </w:tc>
        <w:tc>
          <w:tcPr/>
          <w:p>
            <w:pPr>
              <w:pStyle w:val="Compact"/>
              <w:jc w:val="left"/>
            </w:pPr>
            <w:r>
              <w:rPr>
                <w:lang w:val="en"/>
              </w:rPr>
              <w:t xml:space="preserve">State what readers will achieve</w:t>
            </w:r>
          </w:p>
        </w:tc>
        <w:tc>
          <w:tcPr/>
          <w:p>
            <w:pPr>
              <w:pStyle w:val="Compact"/>
              <w:jc w:val="left"/>
            </w:pPr>
            <w:r>
              <w:rPr>
                <w:lang w:val="en"/>
              </w:rPr>
              <w:t xml:space="preserve">1-2 paragraphs; active voice; specific capability or knowledge gained</w:t>
            </w:r>
          </w:p>
        </w:tc>
      </w:tr>
      <w:tr>
        <w:tc>
          <w:tcPr/>
          <w:p>
            <w:pPr>
              <w:pStyle w:val="Compact"/>
              <w:jc w:val="left"/>
            </w:pPr>
            <w:r>
              <w:rPr>
                <w:bCs/>
                <w:b/>
                <w:lang w:val="en"/>
              </w:rPr>
              <w:t xml:space="preserve">2. Requirements</w:t>
            </w:r>
          </w:p>
        </w:tc>
        <w:tc>
          <w:tcPr/>
          <w:p>
            <w:pPr>
              <w:pStyle w:val="Compact"/>
              <w:jc w:val="left"/>
            </w:pPr>
            <w:r>
              <w:rPr>
                <w:lang w:val="en"/>
              </w:rPr>
              <w:t xml:space="preserve">List prerequisites</w:t>
            </w:r>
          </w:p>
        </w:tc>
        <w:tc>
          <w:tcPr/>
          <w:p>
            <w:pPr>
              <w:pStyle w:val="Compact"/>
              <w:jc w:val="left"/>
            </w:pPr>
            <w:r>
              <w:rPr>
                <w:lang w:val="en"/>
              </w:rPr>
              <w:t xml:space="preserve">Hyperlinked circular IDs with brief description; “None” if no prerequisites</w:t>
            </w:r>
          </w:p>
        </w:tc>
      </w:tr>
      <w:tr>
        <w:tc>
          <w:tcPr/>
          <w:p>
            <w:pPr>
              <w:pStyle w:val="Compact"/>
              <w:jc w:val="left"/>
            </w:pPr>
            <w:r>
              <w:rPr>
                <w:bCs/>
                <w:b/>
                <w:lang w:val="en"/>
              </w:rPr>
              <w:t xml:space="preserve">3. Guidance Material</w:t>
            </w:r>
          </w:p>
        </w:tc>
        <w:tc>
          <w:tcPr/>
          <w:p>
            <w:pPr>
              <w:pStyle w:val="Compact"/>
              <w:jc w:val="left"/>
            </w:pPr>
            <w:r>
              <w:rPr>
                <w:lang w:val="en"/>
              </w:rPr>
              <w:t xml:space="preserve">Core methods and explanations</w:t>
            </w:r>
          </w:p>
        </w:tc>
        <w:tc>
          <w:tcPr/>
          <w:p>
            <w:pPr>
              <w:pStyle w:val="Compact"/>
              <w:jc w:val="left"/>
            </w:pPr>
            <w:r>
              <w:rPr>
                <w:lang w:val="en"/>
              </w:rPr>
              <w:t xml:space="preserve">Hierarchical subsections; cite standards with paragraph numbers; tables and figures for complex content</w:t>
            </w:r>
          </w:p>
        </w:tc>
      </w:tr>
      <w:tr>
        <w:tc>
          <w:tcPr/>
          <w:p>
            <w:pPr>
              <w:pStyle w:val="Compact"/>
              <w:jc w:val="left"/>
            </w:pPr>
            <w:r>
              <w:rPr>
                <w:bCs/>
                <w:b/>
                <w:lang w:val="en"/>
              </w:rPr>
              <w:t xml:space="preserve">4. Limitations (optional)</w:t>
            </w:r>
          </w:p>
        </w:tc>
        <w:tc>
          <w:tcPr/>
          <w:p>
            <w:pPr>
              <w:pStyle w:val="Compact"/>
              <w:jc w:val="left"/>
            </w:pPr>
            <w:r>
              <w:rPr>
                <w:lang w:val="en"/>
              </w:rPr>
              <w:t xml:space="preserve">Caveats and misapplication risks</w:t>
            </w:r>
          </w:p>
        </w:tc>
        <w:tc>
          <w:tcPr/>
          <w:p>
            <w:pPr>
              <w:pStyle w:val="Compact"/>
              <w:jc w:val="left"/>
            </w:pPr>
            <w:r>
              <w:rPr>
                <w:lang w:val="en"/>
              </w:rPr>
              <w:t xml:space="preserve">Include when methodology has significant limitations; flexible length</w:t>
            </w:r>
          </w:p>
        </w:tc>
      </w:tr>
      <w:tr>
        <w:tc>
          <w:tcPr/>
          <w:p>
            <w:pPr>
              <w:pStyle w:val="Compact"/>
              <w:jc w:val="left"/>
            </w:pPr>
            <w:r>
              <w:rPr>
                <w:bCs/>
                <w:b/>
                <w:lang w:val="en"/>
              </w:rPr>
              <w:t xml:space="preserve">Acknowledgements</w:t>
            </w:r>
          </w:p>
        </w:tc>
        <w:tc>
          <w:tcPr/>
          <w:p>
            <w:pPr>
              <w:pStyle w:val="Compact"/>
              <w:jc w:val="left"/>
            </w:pPr>
            <w:r>
              <w:rPr>
                <w:lang w:val="en"/>
              </w:rPr>
              <w:t xml:space="preserve">Authors and reviewers</w:t>
            </w:r>
          </w:p>
        </w:tc>
        <w:tc>
          <w:tcPr/>
          <w:p>
            <w:pPr>
              <w:pStyle w:val="Compact"/>
              <w:jc w:val="left"/>
            </w:pPr>
            <w:r>
              <w:rPr>
                <w:lang w:val="en"/>
              </w:rPr>
              <w:t xml:space="preserve">List with affiliations</w:t>
            </w:r>
          </w:p>
        </w:tc>
      </w:tr>
      <w:tr>
        <w:tc>
          <w:tcPr/>
          <w:p>
            <w:pPr>
              <w:pStyle w:val="Compact"/>
              <w:jc w:val="left"/>
            </w:pPr>
            <w:r>
              <w:rPr>
                <w:bCs/>
                <w:b/>
                <w:lang w:val="en"/>
              </w:rPr>
              <w:t xml:space="preserve">References</w:t>
            </w:r>
          </w:p>
        </w:tc>
        <w:tc>
          <w:tcPr/>
          <w:p>
            <w:pPr>
              <w:pStyle w:val="Compact"/>
              <w:jc w:val="left"/>
            </w:pPr>
            <w:r>
              <w:rPr>
                <w:lang w:val="en"/>
              </w:rPr>
              <w:t xml:space="preserve">Citations</w:t>
            </w:r>
          </w:p>
        </w:tc>
        <w:tc>
          <w:tcPr/>
          <w:p>
            <w:pPr>
              <w:pStyle w:val="Compact"/>
              <w:jc w:val="left"/>
            </w:pPr>
            <w:r>
              <w:rPr>
                <w:lang w:val="en"/>
              </w:rPr>
              <w:t xml:space="preserve">Footnote format for in-text citations; numbered list acceptable when no in-text anchors present</w:t>
            </w:r>
          </w:p>
        </w:tc>
      </w:tr>
    </w:tbl>
    <w:p>
      <w:r>
        <w:pict>
          <v:rect style="width:0;height:1.5pt" o:hralign="center" o:hrstd="t" o:hr="t"/>
        </w:pict>
      </w:r>
    </w:p>
    <w:bookmarkStart w:id="77" w:name="X256a9707d479703b7b566eacf61da9c2e3340a9"/>
    <w:p>
      <w:pPr>
        <w:pStyle w:val="Heading3"/>
      </w:pPr>
      <w:r>
        <w:rPr>
          <w:lang w:val="en"/>
        </w:rPr>
        <w:t xml:space="preserve">4.5</w:t>
      </w:r>
      <w:r>
        <w:rPr>
          <w:lang w:val="en"/>
        </w:rPr>
        <w:t xml:space="preserve"> </w:t>
      </w:r>
      <w:r>
        <w:rPr>
          <w:lang w:val="en"/>
        </w:rPr>
        <w:t xml:space="preserve">Section Scope Tests</w:t>
      </w:r>
    </w:p>
    <w:p>
      <w:pPr>
        <w:pStyle w:val="FirstParagraph"/>
      </w:pPr>
      <w:hyperlink w:anchor="X256a9707d479703b7b566eacf61da9c2e3340a9">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 Section Scope Tests”</w:t>
        </w:r>
      </w:hyperlink>
    </w:p>
    <w:bookmarkEnd w:id="77"/>
    <w:p>
      <w:pPr>
        <w:pStyle w:val="BodyText"/>
      </w:pPr>
      <w:r>
        <w:rPr>
          <w:lang w:val="en"/>
        </w:rPr>
        <w:t xml:space="preserve">¶1</w:t>
      </w:r>
      <w:r>
        <w:rPr>
          <w:lang w:val="en"/>
        </w:rPr>
        <w:t xml:space="preserve"> </w:t>
      </w:r>
      <w:r>
        <w:rPr>
          <w:lang w:val="en"/>
        </w:rPr>
        <w:t xml:space="preserve">Each section’s scope is stated in Section 3.1. The tests below say what that scope means when an author is deciding whether a passage belongs in the circular they are writing. They were derived from the Section 1 review of September 2026 and the Section 3 review that followed it, both of which found method distributed across sections that had no rule to test it against.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Section</w:t>
            </w:r>
          </w:p>
        </w:tc>
        <w:tc>
          <w:tcPr/>
          <w:p>
            <w:pPr>
              <w:pStyle w:val="Compact"/>
              <w:jc w:val="left"/>
            </w:pPr>
            <w:r>
              <w:rPr>
                <w:lang w:val="en"/>
              </w:rPr>
              <w:t xml:space="preserve">The circular gives</w:t>
            </w:r>
          </w:p>
        </w:tc>
        <w:tc>
          <w:tcPr/>
          <w:p>
            <w:pPr>
              <w:pStyle w:val="Compact"/>
              <w:jc w:val="left"/>
            </w:pPr>
            <w:r>
              <w:rPr>
                <w:lang w:val="en"/>
              </w:rPr>
              <w:t xml:space="preserve">It cross-refers for</w:t>
            </w:r>
          </w:p>
        </w:tc>
      </w:tr>
      <w:tr>
        <w:tc>
          <w:tcPr/>
          <w:p>
            <w:pPr>
              <w:pStyle w:val="Compact"/>
              <w:jc w:val="left"/>
            </w:pPr>
            <w:r>
              <w:rPr>
                <w:bCs/>
                <w:b/>
                <w:lang w:val="en"/>
              </w:rPr>
              <w:t xml:space="preserve">1 Decision-Making</w:t>
            </w:r>
          </w:p>
        </w:tc>
        <w:tc>
          <w:tcPr/>
          <w:p>
            <w:pPr>
              <w:pStyle w:val="Compact"/>
              <w:jc w:val="left"/>
            </w:pPr>
            <w:r>
              <w:rPr>
                <w:lang w:val="en"/>
              </w:rPr>
              <w:t xml:space="preserve">Which accounts and indicators bear on a decision, how to read them, how to present them</w:t>
            </w:r>
          </w:p>
        </w:tc>
        <w:tc>
          <w:tcPr/>
          <w:p>
            <w:pPr>
              <w:pStyle w:val="Compact"/>
              <w:jc w:val="left"/>
            </w:pPr>
            <w:r>
              <w:rPr>
                <w:lang w:val="en"/>
              </w:rPr>
              <w:t xml:space="preserve">How they are built (2, 3, 4, 6)</w:t>
            </w:r>
          </w:p>
        </w:tc>
      </w:tr>
      <w:tr>
        <w:tc>
          <w:tcPr/>
          <w:p>
            <w:pPr>
              <w:pStyle w:val="Compact"/>
              <w:jc w:val="left"/>
            </w:pPr>
            <w:r>
              <w:rPr>
                <w:bCs/>
                <w:b/>
                <w:lang w:val="en"/>
              </w:rPr>
              <w:t xml:space="preserve">2 Indicators</w:t>
            </w:r>
          </w:p>
        </w:tc>
        <w:tc>
          <w:tcPr/>
          <w:p>
            <w:pPr>
              <w:pStyle w:val="Compact"/>
              <w:jc w:val="left"/>
            </w:pPr>
            <w:r>
              <w:rPr>
                <w:lang w:val="en"/>
              </w:rPr>
              <w:t xml:space="preserve">The indicator’s definition, normalisation and aggregation</w:t>
            </w:r>
          </w:p>
        </w:tc>
        <w:tc>
          <w:tcPr/>
          <w:p>
            <w:pPr>
              <w:pStyle w:val="Compact"/>
              <w:jc w:val="left"/>
            </w:pPr>
            <w:r>
              <w:rPr>
                <w:lang w:val="en"/>
              </w:rPr>
              <w:t xml:space="preserve">The account it is derived from (3)</w:t>
            </w:r>
          </w:p>
        </w:tc>
      </w:tr>
      <w:tr>
        <w:tc>
          <w:tcPr/>
          <w:p>
            <w:pPr>
              <w:pStyle w:val="Compact"/>
              <w:jc w:val="left"/>
            </w:pPr>
            <w:r>
              <w:rPr>
                <w:bCs/>
                <w:b/>
                <w:lang w:val="en"/>
              </w:rPr>
              <w:t xml:space="preserve">3 Accounts Compilation</w:t>
            </w:r>
          </w:p>
        </w:tc>
        <w:tc>
          <w:tcPr/>
          <w:p>
            <w:pPr>
              <w:pStyle w:val="Compact"/>
              <w:jc w:val="left"/>
            </w:pPr>
            <w:r>
              <w:rPr>
                <w:lang w:val="en"/>
              </w:rPr>
              <w:t xml:space="preserve">The account table — its rows, columns and accounting identities — and the compilation procedure that populates it</w:t>
            </w:r>
          </w:p>
        </w:tc>
        <w:tc>
          <w:tcPr/>
          <w:p>
            <w:pPr>
              <w:pStyle w:val="Compact"/>
              <w:jc w:val="left"/>
            </w:pPr>
            <w:r>
              <w:rPr>
                <w:lang w:val="en"/>
              </w:rPr>
              <w:t xml:space="preserve">Sector-specific method (6), measurement protocol and data source (4), the indicator derived from it (2), the decision that uses it (1)</w:t>
            </w:r>
          </w:p>
        </w:tc>
      </w:tr>
      <w:tr>
        <w:tc>
          <w:tcPr/>
          <w:p>
            <w:pPr>
              <w:pStyle w:val="Compact"/>
              <w:jc w:val="left"/>
            </w:pPr>
            <w:r>
              <w:rPr>
                <w:bCs/>
                <w:b/>
                <w:lang w:val="en"/>
              </w:rPr>
              <w:t xml:space="preserve">4 Data Methods</w:t>
            </w:r>
          </w:p>
        </w:tc>
        <w:tc>
          <w:tcPr/>
          <w:p>
            <w:pPr>
              <w:pStyle w:val="Compact"/>
              <w:jc w:val="left"/>
            </w:pPr>
            <w:r>
              <w:rPr>
                <w:lang w:val="en"/>
              </w:rPr>
              <w:t xml:space="preserve">The variable delivered to an account: definition, source, unit, coverage, reference value, uncertainty, quality tier</w:t>
            </w:r>
          </w:p>
        </w:tc>
        <w:tc>
          <w:tcPr/>
          <w:p>
            <w:pPr>
              <w:pStyle w:val="Compact"/>
              <w:jc w:val="left"/>
            </w:pPr>
            <w:r>
              <w:rPr>
                <w:lang w:val="en"/>
              </w:rPr>
              <w:t xml:space="preserve">The account the variable enters (3)</w:t>
            </w:r>
          </w:p>
        </w:tc>
      </w:tr>
      <w:tr>
        <w:tc>
          <w:tcPr/>
          <w:p>
            <w:pPr>
              <w:pStyle w:val="Compact"/>
              <w:jc w:val="left"/>
            </w:pPr>
            <w:r>
              <w:rPr>
                <w:bCs/>
                <w:b/>
                <w:lang w:val="en"/>
              </w:rPr>
              <w:t xml:space="preserve">5 Case Studies</w:t>
            </w:r>
          </w:p>
        </w:tc>
        <w:tc>
          <w:tcPr/>
          <w:p>
            <w:pPr>
              <w:pStyle w:val="Compact"/>
              <w:jc w:val="left"/>
            </w:pPr>
            <w:r>
              <w:rPr>
                <w:lang w:val="en"/>
              </w:rPr>
              <w:t xml:space="preserve">What one country did and what others can act on</w:t>
            </w:r>
          </w:p>
        </w:tc>
        <w:tc>
          <w:tcPr/>
          <w:p>
            <w:pPr>
              <w:pStyle w:val="Compact"/>
              <w:jc w:val="left"/>
            </w:pPr>
            <w:r>
              <w:rPr>
                <w:lang w:val="en"/>
              </w:rPr>
              <w:t xml:space="preserve">Every method it applied</w:t>
            </w:r>
          </w:p>
        </w:tc>
      </w:tr>
      <w:tr>
        <w:tc>
          <w:tcPr/>
          <w:p>
            <w:pPr>
              <w:pStyle w:val="Compact"/>
              <w:jc w:val="left"/>
            </w:pPr>
            <w:r>
              <w:rPr>
                <w:bCs/>
                <w:b/>
                <w:lang w:val="en"/>
              </w:rPr>
              <w:t xml:space="preserve">6 Thematic Methods</w:t>
            </w:r>
          </w:p>
        </w:tc>
        <w:tc>
          <w:tcPr/>
          <w:p>
            <w:pPr>
              <w:pStyle w:val="Compact"/>
              <w:jc w:val="left"/>
            </w:pPr>
            <w:r>
              <w:rPr>
                <w:lang w:val="en"/>
              </w:rPr>
              <w:t xml:space="preserve">Method specific to one ecosystem, sector, asset class or intervention class</w:t>
            </w:r>
          </w:p>
        </w:tc>
        <w:tc>
          <w:tcPr/>
          <w:p>
            <w:pPr>
              <w:pStyle w:val="Compact"/>
              <w:jc w:val="left"/>
            </w:pPr>
            <w:r>
              <w:rPr>
                <w:lang w:val="en"/>
              </w:rPr>
              <w:t xml:space="preserve">The generic account structure it populates (3), the measurement protocol (4), the indicator derived from it (2), and readiness and sequencing (0.8)</w:t>
            </w:r>
          </w:p>
        </w:tc>
      </w:tr>
    </w:tbl>
    <w:p>
      <w:pPr>
        <w:pStyle w:val="BodyText"/>
      </w:pPr>
      <w:r>
        <w:rPr>
          <w:lang w:val="en"/>
        </w:rPr>
        <w:t xml:space="preserve">¶2</w:t>
      </w:r>
      <w:r>
        <w:rPr>
          <w:lang w:val="en"/>
        </w:rPr>
        <w:t xml:space="preserve"> </w:t>
      </w:r>
      <w:r>
        <w:rPr>
          <w:lang w:val="en"/>
        </w:rPr>
        <w:t xml:space="preserve">Two consequences are worth stating explicitly, because both have been breached in practice:</w:t>
      </w:r>
    </w:p>
    <w:p>
      <w:pPr>
        <w:numPr>
          <w:ilvl w:val="0"/>
          <w:numId w:val="1009"/>
        </w:numPr>
        <w:pStyle w:val="Compact"/>
      </w:pPr>
      <w:r>
        <w:rPr>
          <w:lang w:val="en"/>
        </w:rPr>
        <w:t xml:space="preserve">¶3</w:t>
      </w:r>
      <w:r>
        <w:rPr>
          <w:lang w:val="en"/>
        </w:rPr>
        <w:t xml:space="preserve"> </w:t>
      </w:r>
      <w:r>
        <w:rPr>
          <w:bCs/>
          <w:b/>
          <w:lang w:val="en"/>
        </w:rPr>
        <w:t xml:space="preserve">A Section 4 worked example may show a variable being produced and quality-assured; it should not show an account being balanced.</w:t>
      </w:r>
      <w:r>
        <w:rPr>
          <w:lang w:val="en"/>
        </w:rPr>
        <w:t xml:space="preserve"> </w:t>
      </w:r>
      <w:r>
        <w:rPr>
          <w:lang w:val="en"/>
        </w:rPr>
        <w:t xml:space="preserve">Balancing an account is Section 3 work, and so is the valuation choice that populates a monetary cell.</w:t>
      </w:r>
    </w:p>
    <w:p>
      <w:pPr>
        <w:numPr>
          <w:ilvl w:val="0"/>
          <w:numId w:val="1009"/>
        </w:numPr>
        <w:pStyle w:val="Compact"/>
      </w:pPr>
      <w:r>
        <w:rPr>
          <w:lang w:val="en"/>
        </w:rPr>
        <w:t xml:space="preserve">¶4</w:t>
      </w:r>
      <w:r>
        <w:rPr>
          <w:lang w:val="en"/>
        </w:rPr>
        <w:t xml:space="preserve"> </w:t>
      </w:r>
      <w:r>
        <w:rPr>
          <w:bCs/>
          <w:b/>
          <w:lang w:val="en"/>
        </w:rPr>
        <w:t xml:space="preserve">Section 3 keeps what generalises across assets</w:t>
      </w:r>
      <w:r>
        <w:rPr>
          <w:lang w:val="en"/>
        </w:rPr>
        <w:t xml:space="preserve"> </w:t>
      </w:r>
      <w:r>
        <w:rPr>
          <w:lang w:val="en"/>
        </w:rPr>
        <w:t xml:space="preserve">— the boundary decision, the classification into SEEA asset categories, the account rows and identities. Sector-specific method belongs in Section 6, named by circular. Where a Section 3 circular is the only place a method appears, it moves rather than being deleted.</w:t>
      </w:r>
    </w:p>
    <w:p>
      <w:pPr>
        <w:numPr>
          <w:ilvl w:val="0"/>
          <w:numId w:val="1009"/>
        </w:numPr>
        <w:pStyle w:val="Compact"/>
      </w:pPr>
      <w:r>
        <w:rPr>
          <w:lang w:val="en"/>
        </w:rPr>
        <w:t xml:space="preserve">¶5</w:t>
      </w:r>
      <w:r>
        <w:rPr>
          <w:lang w:val="en"/>
        </w:rPr>
        <w:t xml:space="preserve"> </w:t>
      </w:r>
      <w:r>
        <w:rPr>
          <w:bCs/>
          <w:b/>
          <w:lang w:val="en"/>
        </w:rPr>
        <w:t xml:space="preserve">Section 6 is not only ecosystems and industries.</w:t>
      </w:r>
      <w:r>
        <w:rPr>
          <w:lang w:val="en"/>
        </w:rPr>
        <w:t xml:space="preserve"> </w:t>
      </w:r>
      <w:r>
        <w:rPr>
          <w:lang w:val="en"/>
        </w:rPr>
        <w:t xml:space="preserve">The row above was widened in September 2026 after a read-across of the whole section found four circulars that the earlier wording did not admit: TG-6.11 treats an asset class, TG-6.12 a residual-flow class, TG-6.13 a spatial interface between two accounting domains, and TG-6.15 an intervention class. All four give method specific to their subject and cross-refer for the generic structure, which is the operative half of the test; the earlier wording named only ecosystems and sectors and so excluded them by accident rather than by decision.</w:t>
      </w:r>
    </w:p>
    <w:p>
      <w:pPr>
        <w:numPr>
          <w:ilvl w:val="0"/>
          <w:numId w:val="1009"/>
        </w:numPr>
        <w:pStyle w:val="Compact"/>
      </w:pPr>
      <w:r>
        <w:rPr>
          <w:lang w:val="en"/>
        </w:rPr>
        <w:t xml:space="preserve">¶6</w:t>
      </w:r>
      <w:r>
        <w:rPr>
          <w:lang w:val="en"/>
        </w:rPr>
        <w:t xml:space="preserve"> </w:t>
      </w:r>
      <w:r>
        <w:rPr>
          <w:bCs/>
          <w:b/>
          <w:lang w:val="en"/>
        </w:rPr>
        <w:t xml:space="preserve">Where two Section 6 circulars can record the same entry, one of them owns it and says so.</w:t>
      </w:r>
      <w:r>
        <w:rPr>
          <w:lang w:val="en"/>
        </w:rPr>
        <w:t xml:space="preserve"> </w:t>
      </w:r>
      <w:r>
        <w:rPr>
          <w:lang w:val="en"/>
        </w:rPr>
        <w:t xml:space="preserve">The read-across found four such overlaps — submerged artificial structures, the coastal protection service, blue carbon pricing, and nutrient loads to coastal waters — each recorded in two places without a rule. A Section 6 circular that shares an account entry with another must name the owner in its boundary statement or at the point of overlap.</w:t>
      </w:r>
    </w:p>
    <w:p>
      <w:pPr>
        <w:pStyle w:val="FirstParagraph"/>
      </w:pPr>
      <w:r>
        <w:rPr>
          <w:lang w:val="en"/>
        </w:rPr>
        <w:t xml:space="preserve">¶7</w:t>
      </w:r>
      <w:r>
        <w:rPr>
          <w:lang w:val="en"/>
        </w:rPr>
        <w:t xml:space="preserve"> </w:t>
      </w:r>
      <w:r>
        <w:rPr>
          <w:lang w:val="en"/>
        </w:rPr>
        <w:t xml:space="preserve">Every circular in Sections 1 to 4 and 6 should carry a short boundary statement, in its</w:t>
      </w:r>
      <w:r>
        <w:rPr>
          <w:lang w:val="en"/>
        </w:rPr>
        <w:t xml:space="preserve"> </w:t>
      </w:r>
      <w:r>
        <w:rPr>
          <w:rStyle w:val="VerbatimChar"/>
          <w:lang w:val="en"/>
        </w:rPr>
        <w:t xml:space="preserve">:::note[Framework Position]</w:t>
      </w:r>
      <w:r>
        <w:rPr>
          <w:lang w:val="en"/>
        </w:rPr>
        <w:t xml:space="preserve"> </w:t>
      </w:r>
      <w:r>
        <w:rPr>
          <w:lang w:val="en"/>
        </w:rPr>
        <w:t xml:space="preserve">block or immediately after it, naming which account or decision it owns and which circulars own the method it excludes. TG-3.9 is the model.</w:t>
      </w:r>
    </w:p>
    <w:p>
      <w:r>
        <w:pict>
          <v:rect style="width:0;height:1.5pt" o:hralign="center" o:hrstd="t" o:hr="t"/>
        </w:pict>
      </w:r>
    </w:p>
    <w:bookmarkStart w:id="80" w:name="X6311dc8e2689fcab936a259c7cb89b22b077b6b"/>
    <w:p>
      <w:pPr>
        <w:pStyle w:val="Heading2"/>
      </w:pPr>
      <w:r>
        <w:rPr>
          <w:lang w:val="en"/>
        </w:rPr>
        <w:t xml:space="preserve">5.</w:t>
      </w:r>
      <w:r>
        <w:rPr>
          <w:lang w:val="en"/>
        </w:rPr>
        <w:t xml:space="preserve"> </w:t>
      </w:r>
      <w:r>
        <w:rPr>
          <w:lang w:val="en"/>
        </w:rPr>
        <w:t xml:space="preserve">Page Length Guidance</w:t>
      </w:r>
    </w:p>
    <w:p>
      <w:pPr>
        <w:pStyle w:val="FirstParagraph"/>
      </w:pPr>
      <w:hyperlink w:anchor="X6311dc8e2689fcab936a259c7cb89b22b077b6b">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Page Length Guidance”</w:t>
        </w:r>
      </w:hyperlink>
    </w:p>
    <w:bookmarkEnd w:id="80"/>
    <w:p>
      <w:pPr>
        <w:pStyle w:val="BodyText"/>
      </w:pPr>
      <w:r>
        <w:rPr>
          <w:lang w:val="en"/>
        </w:rPr>
        <w:t xml:space="preserve">¶1</w:t>
      </w:r>
      <w:r>
        <w:rPr>
          <w:lang w:val="en"/>
        </w:rPr>
        <w:t xml:space="preserve"> </w:t>
      </w:r>
      <w:r>
        <w:rPr>
          <w:lang w:val="en"/>
        </w:rPr>
        <w:t xml:space="preserve">Page counts refer to rendered PDF A4 pages at approximately 500 words per page. These are guidance targets, not enforced limits.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Section</w:t>
            </w:r>
          </w:p>
        </w:tc>
        <w:tc>
          <w:tcPr/>
          <w:p>
            <w:pPr>
              <w:pStyle w:val="Compact"/>
              <w:jc w:val="left"/>
            </w:pPr>
            <w:r>
              <w:rPr>
                <w:lang w:val="en"/>
              </w:rPr>
              <w:t xml:space="preserve">Typical Length</w:t>
            </w:r>
          </w:p>
        </w:tc>
        <w:tc>
          <w:tcPr/>
          <w:p>
            <w:pPr>
              <w:pStyle w:val="Compact"/>
              <w:jc w:val="left"/>
            </w:pPr>
            <w:r>
              <w:rPr>
                <w:lang w:val="en"/>
              </w:rPr>
              <w:t xml:space="preserve">Notes</w:t>
            </w:r>
          </w:p>
        </w:tc>
      </w:tr>
      <w:tr>
        <w:tc>
          <w:tcPr/>
          <w:p>
            <w:pPr>
              <w:pStyle w:val="Compact"/>
              <w:jc w:val="left"/>
            </w:pPr>
            <w:r>
              <w:rPr>
                <w:lang w:val="en"/>
              </w:rPr>
              <w:t xml:space="preserve">Section 0 (Front Matter)</w:t>
            </w:r>
          </w:p>
        </w:tc>
        <w:tc>
          <w:tcPr/>
          <w:p>
            <w:pPr>
              <w:pStyle w:val="Compact"/>
              <w:jc w:val="left"/>
            </w:pPr>
            <w:r>
              <w:rPr>
                <w:lang w:val="en"/>
              </w:rPr>
              <w:t xml:space="preserve">Variable</w:t>
            </w:r>
          </w:p>
        </w:tc>
        <w:tc>
          <w:tcPr/>
          <w:p>
            <w:pPr>
              <w:pStyle w:val="Compact"/>
              <w:jc w:val="left"/>
            </w:pPr>
            <w:r>
              <w:rPr>
                <w:lang w:val="en"/>
              </w:rPr>
              <w:t xml:space="preserve">0.1 and 0.5 are longer by design</w:t>
            </w:r>
          </w:p>
        </w:tc>
      </w:tr>
      <w:tr>
        <w:tc>
          <w:tcPr/>
          <w:p>
            <w:pPr>
              <w:pStyle w:val="Compact"/>
              <w:jc w:val="left"/>
            </w:pPr>
            <w:r>
              <w:rPr>
                <w:lang w:val="en"/>
              </w:rPr>
              <w:t xml:space="preserve">Section 1 (Decision-Making)</w:t>
            </w:r>
          </w:p>
        </w:tc>
        <w:tc>
          <w:tcPr/>
          <w:p>
            <w:pPr>
              <w:pStyle w:val="Compact"/>
              <w:jc w:val="left"/>
            </w:pPr>
            <w:r>
              <w:rPr>
                <w:lang w:val="en"/>
              </w:rPr>
              <w:t xml:space="preserve">4—6 pages</w:t>
            </w:r>
          </w:p>
        </w:tc>
        <w:tc>
          <w:tcPr/>
          <w:p>
            <w:pPr>
              <w:pStyle w:val="Compact"/>
              <w:jc w:val="left"/>
            </w:pPr>
            <w:r>
              <w:rPr>
                <w:lang w:val="en"/>
              </w:rPr>
              <w:t xml:space="preserve">Conceptual + examples</w:t>
            </w:r>
          </w:p>
        </w:tc>
      </w:tr>
      <w:tr>
        <w:tc>
          <w:tcPr/>
          <w:p>
            <w:pPr>
              <w:pStyle w:val="Compact"/>
              <w:jc w:val="left"/>
            </w:pPr>
            <w:r>
              <w:rPr>
                <w:lang w:val="en"/>
              </w:rPr>
              <w:t xml:space="preserve">Section 2 (Indicators)</w:t>
            </w:r>
          </w:p>
        </w:tc>
        <w:tc>
          <w:tcPr/>
          <w:p>
            <w:pPr>
              <w:pStyle w:val="Compact"/>
              <w:jc w:val="left"/>
            </w:pPr>
            <w:r>
              <w:rPr>
                <w:lang w:val="en"/>
              </w:rPr>
              <w:t xml:space="preserve">~4 pages</w:t>
            </w:r>
          </w:p>
        </w:tc>
        <w:tc>
          <w:tcPr/>
          <w:p>
            <w:pPr>
              <w:pStyle w:val="Compact"/>
              <w:jc w:val="left"/>
            </w:pPr>
            <w:r>
              <w:rPr>
                <w:lang w:val="en"/>
              </w:rPr>
              <w:t xml:space="preserve">Methods focus</w:t>
            </w:r>
          </w:p>
        </w:tc>
      </w:tr>
      <w:tr>
        <w:tc>
          <w:tcPr/>
          <w:p>
            <w:pPr>
              <w:pStyle w:val="Compact"/>
              <w:jc w:val="left"/>
            </w:pPr>
            <w:r>
              <w:rPr>
                <w:lang w:val="en"/>
              </w:rPr>
              <w:t xml:space="preserve">Section 3 (Accounts Compilation)</w:t>
            </w:r>
          </w:p>
        </w:tc>
        <w:tc>
          <w:tcPr/>
          <w:p>
            <w:pPr>
              <w:pStyle w:val="Compact"/>
              <w:jc w:val="left"/>
            </w:pPr>
            <w:r>
              <w:rPr>
                <w:lang w:val="en"/>
              </w:rPr>
              <w:t xml:space="preserve">6—8 pages</w:t>
            </w:r>
          </w:p>
        </w:tc>
        <w:tc>
          <w:tcPr/>
          <w:p>
            <w:pPr>
              <w:pStyle w:val="Compact"/>
              <w:jc w:val="left"/>
            </w:pPr>
            <w:r>
              <w:rPr>
                <w:lang w:val="en"/>
              </w:rPr>
              <w:t xml:space="preserve">Detailed methodology</w:t>
            </w:r>
          </w:p>
        </w:tc>
      </w:tr>
      <w:tr>
        <w:tc>
          <w:tcPr/>
          <w:p>
            <w:pPr>
              <w:pStyle w:val="Compact"/>
              <w:jc w:val="left"/>
            </w:pPr>
            <w:r>
              <w:rPr>
                <w:lang w:val="en"/>
              </w:rPr>
              <w:t xml:space="preserve">Section 4 (Data Methods)</w:t>
            </w:r>
          </w:p>
        </w:tc>
        <w:tc>
          <w:tcPr/>
          <w:p>
            <w:pPr>
              <w:pStyle w:val="Compact"/>
              <w:jc w:val="left"/>
            </w:pPr>
            <w:r>
              <w:rPr>
                <w:lang w:val="en"/>
              </w:rPr>
              <w:t xml:space="preserve">4—6 pages</w:t>
            </w:r>
          </w:p>
        </w:tc>
        <w:tc>
          <w:tcPr/>
          <w:p>
            <w:pPr>
              <w:pStyle w:val="Compact"/>
              <w:jc w:val="left"/>
            </w:pPr>
            <w:r>
              <w:rPr>
                <w:lang w:val="en"/>
              </w:rPr>
              <w:t xml:space="preserve">Practical procedures</w:t>
            </w:r>
          </w:p>
        </w:tc>
      </w:tr>
      <w:tr>
        <w:tc>
          <w:tcPr/>
          <w:p>
            <w:pPr>
              <w:pStyle w:val="Compact"/>
              <w:jc w:val="left"/>
            </w:pPr>
            <w:r>
              <w:rPr>
                <w:lang w:val="en"/>
              </w:rPr>
              <w:t xml:space="preserve">Section 5 (Case Studies)</w:t>
            </w:r>
          </w:p>
        </w:tc>
        <w:tc>
          <w:tcPr/>
          <w:p>
            <w:pPr>
              <w:pStyle w:val="Compact"/>
              <w:jc w:val="left"/>
            </w:pPr>
            <w:r>
              <w:rPr>
                <w:lang w:val="en"/>
              </w:rPr>
              <w:t xml:space="preserve">8—12 pages</w:t>
            </w:r>
          </w:p>
        </w:tc>
        <w:tc>
          <w:tcPr/>
          <w:p>
            <w:pPr>
              <w:pStyle w:val="Compact"/>
              <w:jc w:val="left"/>
            </w:pPr>
            <w:r>
              <w:rPr>
                <w:lang w:val="en"/>
              </w:rPr>
              <w:t xml:space="preserve">Full treatment</w:t>
            </w:r>
          </w:p>
        </w:tc>
      </w:tr>
      <w:tr>
        <w:tc>
          <w:tcPr/>
          <w:p>
            <w:pPr>
              <w:pStyle w:val="Compact"/>
              <w:jc w:val="left"/>
            </w:pPr>
            <w:r>
              <w:rPr>
                <w:lang w:val="en"/>
              </w:rPr>
              <w:t xml:space="preserve">Section 6 (Thematic Methods)</w:t>
            </w:r>
          </w:p>
        </w:tc>
        <w:tc>
          <w:tcPr/>
          <w:p>
            <w:pPr>
              <w:pStyle w:val="Compact"/>
              <w:jc w:val="left"/>
            </w:pPr>
            <w:r>
              <w:rPr>
                <w:lang w:val="en"/>
              </w:rPr>
              <w:t xml:space="preserve">6—8 pages</w:t>
            </w:r>
          </w:p>
        </w:tc>
        <w:tc>
          <w:tcPr/>
          <w:p>
            <w:pPr>
              <w:pStyle w:val="Compact"/>
              <w:jc w:val="left"/>
            </w:pPr>
            <w:r>
              <w:rPr>
                <w:lang w:val="en"/>
              </w:rPr>
              <w:t xml:space="preserve">Ecosystem/sector deep-dives</w:t>
            </w:r>
          </w:p>
        </w:tc>
      </w:tr>
    </w:tbl>
    <w:p>
      <w:r>
        <w:pict>
          <v:rect style="width:0;height:1.5pt" o:hralign="center" o:hrstd="t" o:hr="t"/>
        </w:pict>
      </w:r>
    </w:p>
    <w:bookmarkStart w:id="83" w:name="X3be8cefd94c25d8b7dcfc21e5ba7212a1383508"/>
    <w:p>
      <w:pPr>
        <w:pStyle w:val="Heading2"/>
      </w:pPr>
      <w:r>
        <w:rPr>
          <w:lang w:val="en"/>
        </w:rPr>
        <w:t xml:space="preserve">6.</w:t>
      </w:r>
      <w:r>
        <w:rPr>
          <w:lang w:val="en"/>
        </w:rPr>
        <w:t xml:space="preserve"> </w:t>
      </w:r>
      <w:r>
        <w:rPr>
          <w:lang w:val="en"/>
        </w:rPr>
        <w:t xml:space="preserve">Version and Revision Policy</w:t>
      </w:r>
    </w:p>
    <w:p>
      <w:pPr>
        <w:pStyle w:val="FirstParagraph"/>
      </w:pPr>
      <w:hyperlink w:anchor="X3be8cefd94c25d8b7dcfc21e5ba7212a1383508">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Version and Revision Policy”</w:t>
        </w:r>
      </w:hyperlink>
    </w:p>
    <w:bookmarkEnd w:id="83"/>
    <w:bookmarkStart w:id="86" w:name="X0d07c0135fca685b6aeecb155570b3f36dd08c8"/>
    <w:p>
      <w:pPr>
        <w:pStyle w:val="Heading3"/>
      </w:pPr>
      <w:r>
        <w:rPr>
          <w:lang w:val="en"/>
        </w:rPr>
        <w:t xml:space="preserve">6.1</w:t>
      </w:r>
      <w:r>
        <w:rPr>
          <w:lang w:val="en"/>
        </w:rPr>
        <w:t xml:space="preserve"> </w:t>
      </w:r>
      <w:r>
        <w:rPr>
          <w:lang w:val="en"/>
        </w:rPr>
        <w:t xml:space="preserve">Version Numbering</w:t>
      </w:r>
    </w:p>
    <w:p>
      <w:pPr>
        <w:pStyle w:val="FirstParagraph"/>
      </w:pPr>
      <w:hyperlink w:anchor="X0d07c0135fca685b6aeecb155570b3f36dd08c8">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“6.1 Version Numbering”</w:t>
        </w:r>
      </w:hyperlink>
    </w:p>
    <w:bookmarkEnd w:id="86"/>
    <w:p>
      <w:pPr>
        <w:pStyle w:val="BodyText"/>
      </w:pPr>
      <w:r>
        <w:rPr>
          <w:lang w:val="en"/>
        </w:rPr>
        <w:t xml:space="preserve">¶1</w:t>
      </w:r>
      <w:r>
        <w:rPr>
          <w:lang w:val="en"/>
        </w:rPr>
        <w:t xml:space="preserve"> </w:t>
      </w:r>
      <w:r>
        <w:rPr>
          <w:lang w:val="en"/>
        </w:rPr>
        <w:t xml:space="preserve">Format:</w:t>
      </w:r>
      <w:r>
        <w:rPr>
          <w:lang w:val="en"/>
        </w:rPr>
        <w:t xml:space="preserve"> </w:t>
      </w:r>
      <w:r>
        <w:rPr>
          <w:rStyle w:val="VerbatimChar"/>
          <w:lang w:val="en"/>
        </w:rPr>
        <w:t xml:space="preserve">v0.[Major].[Minor]</w:t>
      </w:r>
      <w:r>
        <w:rPr>
          <w:lang w:val="en"/>
        </w:rPr>
        <w:t xml:space="preserve"> </w:t>
      </w:r>
      <w:r>
        <w:rPr>
          <w:lang w:val="en"/>
        </w:rPr>
        <w:t xml:space="preserve">— the leading</w:t>
      </w:r>
      <w:r>
        <w:rPr>
          <w:lang w:val="en"/>
        </w:rPr>
        <w:t xml:space="preserve"> </w:t>
      </w:r>
      <w:r>
        <w:rPr>
          <w:rStyle w:val="VerbatimChar"/>
          <w:lang w:val="en"/>
        </w:rPr>
        <w:t xml:space="preserve">0.</w:t>
      </w:r>
      <w:r>
        <w:rPr>
          <w:lang w:val="en"/>
        </w:rPr>
        <w:t xml:space="preserve"> </w:t>
      </w:r>
      <w:r>
        <w:rPr>
          <w:lang w:val="en"/>
        </w:rPr>
        <w:t xml:space="preserve">marks the consultation edition, which is not adopted guidance</w:t>
      </w:r>
    </w:p>
    <w:p>
      <w:pPr>
        <w:numPr>
          <w:ilvl w:val="0"/>
          <w:numId w:val="1010"/>
        </w:numPr>
        <w:pStyle w:val="Compact"/>
      </w:pPr>
      <w:r>
        <w:rPr>
          <w:lang w:val="en"/>
        </w:rPr>
        <w:t xml:space="preserve">¶2</w:t>
      </w:r>
      <w:r>
        <w:rPr>
          <w:lang w:val="en"/>
        </w:rPr>
        <w:t xml:space="preserve"> </w:t>
      </w:r>
      <w:r>
        <w:rPr>
          <w:bCs/>
          <w:b/>
          <w:lang w:val="en"/>
        </w:rPr>
        <w:t xml:space="preserve">Major version</w:t>
      </w:r>
      <w:r>
        <w:rPr>
          <w:lang w:val="en"/>
        </w:rPr>
        <w:t xml:space="preserve"> </w:t>
      </w:r>
      <w:r>
        <w:rPr>
          <w:lang w:val="en"/>
        </w:rPr>
        <w:t xml:space="preserve">(v0.1.0 → v0.2.0): Substantive content changes — new standards incorporated, significant methodological corrections, structural reorganisation</w:t>
      </w:r>
    </w:p>
    <w:p>
      <w:pPr>
        <w:numPr>
          <w:ilvl w:val="0"/>
          <w:numId w:val="1010"/>
        </w:numPr>
        <w:pStyle w:val="Compact"/>
      </w:pPr>
      <w:r>
        <w:rPr>
          <w:lang w:val="en"/>
        </w:rPr>
        <w:t xml:space="preserve">¶3</w:t>
      </w:r>
      <w:r>
        <w:rPr>
          <w:lang w:val="en"/>
        </w:rPr>
        <w:t xml:space="preserve"> </w:t>
      </w:r>
      <w:r>
        <w:rPr>
          <w:bCs/>
          <w:b/>
          <w:lang w:val="en"/>
        </w:rPr>
        <w:t xml:space="preserve">Minor version</w:t>
      </w:r>
      <w:r>
        <w:rPr>
          <w:lang w:val="en"/>
        </w:rPr>
        <w:t xml:space="preserve"> </w:t>
      </w:r>
      <w:r>
        <w:rPr>
          <w:lang w:val="en"/>
        </w:rPr>
        <w:t xml:space="preserve">(v0.1.0 → v0.1.1): Editorial improvements — clarifications, added examples, typographic corrections, updated cross-references</w:t>
      </w:r>
    </w:p>
    <w:bookmarkStart w:id="89" w:name="X31d0258fde3acd7855ae1a2b99239b8ab75583f"/>
    <w:p>
      <w:pPr>
        <w:pStyle w:val="Heading3"/>
      </w:pPr>
      <w:r>
        <w:rPr>
          <w:lang w:val="en"/>
        </w:rPr>
        <w:t xml:space="preserve">6.2</w:t>
      </w:r>
      <w:r>
        <w:rPr>
          <w:lang w:val="en"/>
        </w:rPr>
        <w:t xml:space="preserve"> </w:t>
      </w:r>
      <w:r>
        <w:rPr>
          <w:lang w:val="en"/>
        </w:rPr>
        <w:t xml:space="preserve">Revision Policy</w:t>
      </w:r>
    </w:p>
    <w:p>
      <w:pPr>
        <w:pStyle w:val="FirstParagraph"/>
      </w:pPr>
      <w:hyperlink w:anchor="X31d0258fde3acd7855ae1a2b99239b8ab75583f">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“6.2 Revision Policy”</w:t>
        </w:r>
      </w:hyperlink>
    </w:p>
    <w:bookmarkEnd w:id="89"/>
    <w:p>
      <w:pPr>
        <w:numPr>
          <w:ilvl w:val="0"/>
          <w:numId w:val="1011"/>
        </w:numPr>
        <w:pStyle w:val="Compact"/>
      </w:pPr>
      <w:r>
        <w:rPr>
          <w:lang w:val="en"/>
        </w:rPr>
        <w:t xml:space="preserve">¶1</w:t>
      </w:r>
      <w:r>
        <w:rPr>
          <w:lang w:val="en"/>
        </w:rPr>
        <w:t xml:space="preserve"> </w:t>
      </w:r>
      <w:r>
        <w:rPr>
          <w:lang w:val="en"/>
        </w:rPr>
        <w:t xml:space="preserve">All circulars undergo</w:t>
      </w:r>
      <w:r>
        <w:rPr>
          <w:lang w:val="en"/>
        </w:rPr>
        <w:t xml:space="preserve"> </w:t>
      </w:r>
      <w:r>
        <w:rPr>
          <w:bCs/>
          <w:b/>
          <w:lang w:val="en"/>
        </w:rPr>
        <w:t xml:space="preserve">annual review</w:t>
      </w:r>
      <w:r>
        <w:rPr>
          <w:lang w:val="en"/>
        </w:rPr>
        <w:t xml:space="preserve"> </w:t>
      </w:r>
      <w:r>
        <w:rPr>
          <w:lang w:val="en"/>
        </w:rPr>
        <w:t xml:space="preserve">to assess whether updates are needed</w:t>
      </w:r>
    </w:p>
    <w:p>
      <w:pPr>
        <w:numPr>
          <w:ilvl w:val="0"/>
          <w:numId w:val="1011"/>
        </w:numPr>
        <w:pStyle w:val="Compact"/>
      </w:pPr>
      <w:r>
        <w:rPr>
          <w:lang w:val="en"/>
        </w:rPr>
        <w:t xml:space="preserve">¶2</w:t>
      </w:r>
      <w:r>
        <w:rPr>
          <w:lang w:val="en"/>
        </w:rPr>
        <w:t xml:space="preserve"> </w:t>
      </w:r>
      <w:r>
        <w:rPr>
          <w:bCs/>
          <w:b/>
          <w:lang w:val="en"/>
        </w:rPr>
        <w:t xml:space="preserve">Core</w:t>
      </w:r>
      <w:r>
        <w:rPr>
          <w:lang w:val="en"/>
        </w:rPr>
        <w:t xml:space="preserve"> </w:t>
      </w:r>
      <w:r>
        <w:rPr>
          <w:lang w:val="en"/>
        </w:rPr>
        <w:t xml:space="preserve">circulars are updated only when underlying standards change</w:t>
      </w:r>
    </w:p>
    <w:p>
      <w:pPr>
        <w:numPr>
          <w:ilvl w:val="0"/>
          <w:numId w:val="1011"/>
        </w:numPr>
        <w:pStyle w:val="Compact"/>
      </w:pPr>
      <w:r>
        <w:rPr>
          <w:lang w:val="en"/>
        </w:rPr>
        <w:t xml:space="preserve">¶3</w:t>
      </w:r>
      <w:r>
        <w:rPr>
          <w:lang w:val="en"/>
        </w:rPr>
        <w:t xml:space="preserve"> </w:t>
      </w:r>
      <w:r>
        <w:rPr>
          <w:bCs/>
          <w:b/>
          <w:lang w:val="en"/>
        </w:rPr>
        <w:t xml:space="preserve">Applied</w:t>
      </w:r>
      <w:r>
        <w:rPr>
          <w:lang w:val="en"/>
        </w:rPr>
        <w:t xml:space="preserve"> </w:t>
      </w:r>
      <w:r>
        <w:rPr>
          <w:lang w:val="en"/>
        </w:rPr>
        <w:t xml:space="preserve">and</w:t>
      </w:r>
      <w:r>
        <w:rPr>
          <w:lang w:val="en"/>
        </w:rPr>
        <w:t xml:space="preserve"> </w:t>
      </w:r>
      <w:r>
        <w:rPr>
          <w:bCs/>
          <w:b/>
          <w:lang w:val="en"/>
        </w:rPr>
        <w:t xml:space="preserve">Emerging</w:t>
      </w:r>
      <w:r>
        <w:rPr>
          <w:lang w:val="en"/>
        </w:rPr>
        <w:t xml:space="preserve"> </w:t>
      </w:r>
      <w:r>
        <w:rPr>
          <w:lang w:val="en"/>
        </w:rPr>
        <w:t xml:space="preserve">circulars may be updated based on implementation experience</w:t>
      </w:r>
    </w:p>
    <w:bookmarkStart w:id="92" w:name="X83f281cc78dc0d1c17ba304b1ce409ae3363c28"/>
    <w:p>
      <w:pPr>
        <w:pStyle w:val="Heading3"/>
      </w:pPr>
      <w:r>
        <w:rPr>
          <w:lang w:val="en"/>
        </w:rPr>
        <w:t xml:space="preserve">6.3</w:t>
      </w:r>
      <w:r>
        <w:rPr>
          <w:lang w:val="en"/>
        </w:rPr>
        <w:t xml:space="preserve"> </w:t>
      </w:r>
      <w:r>
        <w:rPr>
          <w:lang w:val="en"/>
        </w:rPr>
        <w:t xml:space="preserve">Superseded Versions</w:t>
      </w:r>
    </w:p>
    <w:p>
      <w:pPr>
        <w:pStyle w:val="FirstParagraph"/>
      </w:pPr>
      <w:hyperlink w:anchor="X83f281cc78dc0d1c17ba304b1ce409ae3363c28">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“6.3 Superseded Versions”</w:t>
        </w:r>
      </w:hyperlink>
    </w:p>
    <w:bookmarkEnd w:id="92"/>
    <w:p>
      <w:pPr>
        <w:pStyle w:val="BodyText"/>
      </w:pPr>
      <w:r>
        <w:rPr>
          <w:lang w:val="en"/>
        </w:rPr>
        <w:t xml:space="preserve">¶1</w:t>
      </w:r>
      <w:r>
        <w:rPr>
          <w:lang w:val="en"/>
        </w:rPr>
        <w:t xml:space="preserve"> </w:t>
      </w:r>
      <w:r>
        <w:rPr>
          <w:lang w:val="en"/>
        </w:rPr>
        <w:t xml:space="preserve">Superseded versions will be archived, with the URL scheme to be confirmed. The current version always appears at the canonical URL.</w:t>
      </w:r>
    </w:p>
    <w:p>
      <w:r>
        <w:pict>
          <v:rect style="width:0;height:1.5pt" o:hralign="center" o:hrstd="t" o:hr="t"/>
        </w:pict>
      </w:r>
    </w:p>
    <w:bookmarkStart w:id="95" w:name="X4240ad166fb55a5a6b516f62cd51720c96b496d"/>
    <w:p>
      <w:pPr>
        <w:pStyle w:val="Heading2"/>
      </w:pPr>
      <w:r>
        <w:rPr>
          <w:lang w:val="en"/>
        </w:rPr>
        <w:t xml:space="preserve">7.</w:t>
      </w:r>
      <w:r>
        <w:rPr>
          <w:lang w:val="en"/>
        </w:rPr>
        <w:t xml:space="preserve"> </w:t>
      </w:r>
      <w:r>
        <w:rPr>
          <w:lang w:val="en"/>
        </w:rPr>
        <w:t xml:space="preserve">Production Process</w:t>
      </w:r>
    </w:p>
    <w:p>
      <w:pPr>
        <w:pStyle w:val="FirstParagraph"/>
      </w:pPr>
      <w:hyperlink w:anchor="X4240ad166fb55a5a6b516f62cd51720c96b496d">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“7. Production Process”</w:t>
        </w:r>
      </w:hyperlink>
    </w:p>
    <w:bookmarkEnd w:id="95"/>
    <w:bookmarkStart w:id="98" w:name="Xb642b0aeb06f1a083fc871ab8a120ecdc129f07"/>
    <w:p>
      <w:pPr>
        <w:pStyle w:val="Heading3"/>
      </w:pPr>
      <w:r>
        <w:rPr>
          <w:lang w:val="en"/>
        </w:rPr>
        <w:t xml:space="preserve">7.1</w:t>
      </w:r>
      <w:r>
        <w:rPr>
          <w:lang w:val="en"/>
        </w:rPr>
        <w:t xml:space="preserve"> </w:t>
      </w:r>
      <w:r>
        <w:rPr>
          <w:lang w:val="en"/>
        </w:rPr>
        <w:t xml:space="preserve">Circular Development Workflow</w:t>
      </w:r>
    </w:p>
    <w:p>
      <w:pPr>
        <w:pStyle w:val="FirstParagraph"/>
      </w:pPr>
      <w:hyperlink w:anchor="Xb642b0aeb06f1a083fc871ab8a120ecdc129f07">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“7.1 Circular Development Workflow”</w:t>
        </w:r>
      </w:hyperlink>
    </w:p>
    <w:bookmarkEnd w:id="98"/>
    <w:p>
      <w:pPr>
        <w:pStyle w:val="BodyText"/>
      </w:pPr>
      <w:r>
        <w:rPr>
          <w:lang w:val="en"/>
        </w:rPr>
        <w:t xml:space="preserve">¶1</w:t>
      </w:r>
      <w:r>
        <w:rPr>
          <w:lang w:val="en"/>
        </w:rPr>
        <w:t xml:space="preserve"> </w:t>
      </w:r>
      <w:r>
        <w:rPr>
          <w:lang w:val="en"/>
        </w:rPr>
        <w:t xml:space="preserve">Table 7.1.1 below summarises the full per-circular review lifecycle for the Second Edition.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Phase</w:t>
            </w:r>
          </w:p>
        </w:tc>
        <w:tc>
          <w:tcPr/>
          <w:p>
            <w:pPr>
              <w:pStyle w:val="Compact"/>
              <w:jc w:val="left"/>
            </w:pPr>
            <w:r>
              <w:rPr>
                <w:lang w:val="en"/>
              </w:rPr>
              <w:t xml:space="preserve">Description</w:t>
            </w:r>
          </w:p>
        </w:tc>
      </w:tr>
      <w:tr>
        <w:tc>
          <w:tcPr/>
          <w:p>
            <w:pPr>
              <w:pStyle w:val="Compact"/>
              <w:jc w:val="left"/>
            </w:pPr>
            <w:r>
              <w:rPr>
                <w:bCs/>
                <w:b/>
                <w:lang w:val="en"/>
              </w:rPr>
              <w:t xml:space="preserve">Triage</w:t>
            </w:r>
          </w:p>
        </w:tc>
        <w:tc>
          <w:tcPr/>
          <w:p>
            <w:pPr>
              <w:pStyle w:val="Compact"/>
              <w:jc w:val="left"/>
            </w:pPr>
            <w:r>
              <w:rPr>
                <w:lang w:val="en"/>
              </w:rPr>
              <w:t xml:space="preserve">Issues raised against each draft are triaged (immediate-fix, verification-needed, user-input-needed) and recorded in the draft’s issue inventory.</w:t>
            </w:r>
          </w:p>
        </w:tc>
      </w:tr>
      <w:tr>
        <w:tc>
          <w:tcPr/>
          <w:p>
            <w:pPr>
              <w:pStyle w:val="Compact"/>
              <w:jc w:val="left"/>
            </w:pPr>
            <w:r>
              <w:rPr>
                <w:bCs/>
                <w:b/>
                <w:lang w:val="en"/>
              </w:rPr>
              <w:t xml:space="preserve">Draft compilation</w:t>
            </w:r>
          </w:p>
        </w:tc>
        <w:tc>
          <w:tcPr/>
          <w:p>
            <w:pPr>
              <w:pStyle w:val="Compact"/>
              <w:jc w:val="left"/>
            </w:pPr>
            <w:r>
              <w:rPr>
                <w:lang w:val="en"/>
              </w:rPr>
              <w:t xml:space="preserve">A new draft is compiled applying all closed/fixed resolutions; each draft has a paired revision log.</w:t>
            </w:r>
          </w:p>
        </w:tc>
      </w:tr>
      <w:tr>
        <w:tc>
          <w:tcPr/>
          <w:p>
            <w:pPr>
              <w:pStyle w:val="Compact"/>
              <w:jc w:val="left"/>
            </w:pPr>
            <w:r>
              <w:rPr>
                <w:bCs/>
                <w:b/>
                <w:lang w:val="en"/>
              </w:rPr>
              <w:t xml:space="preserve">Director review</w:t>
            </w:r>
          </w:p>
        </w:tc>
        <w:tc>
          <w:tcPr/>
          <w:p>
            <w:pPr>
              <w:pStyle w:val="Compact"/>
              <w:jc w:val="left"/>
            </w:pPr>
            <w:r>
              <w:rPr>
                <w:lang w:val="en"/>
              </w:rPr>
              <w:t xml:space="preserve">The draft undergoes a director-level quality gate; findings logged in</w:t>
            </w:r>
            <w:r>
              <w:rPr>
                <w:lang w:val="en"/>
              </w:rPr>
              <w:t xml:space="preserve"> </w:t>
            </w:r>
            <w:r>
              <w:rPr>
                <w:rStyle w:val="VerbatimChar"/>
                <w:lang w:val="en"/>
              </w:rPr>
              <w:t xml:space="preserve">director-review-vN.md</w:t>
            </w:r>
            <w:r>
              <w:rPr>
                <w:lang w:val="en"/>
              </w:rPr>
              <w:t xml:space="preserve">.</w:t>
            </w:r>
          </w:p>
        </w:tc>
      </w:tr>
      <w:tr>
        <w:tc>
          <w:tcPr/>
          <w:p>
            <w:pPr>
              <w:pStyle w:val="Compact"/>
              <w:jc w:val="left"/>
            </w:pPr>
            <w:r>
              <w:rPr>
                <w:bCs/>
                <w:b/>
                <w:lang w:val="en"/>
              </w:rPr>
              <w:t xml:space="preserve">Director fixes</w:t>
            </w:r>
          </w:p>
        </w:tc>
        <w:tc>
          <w:tcPr/>
          <w:p>
            <w:pPr>
              <w:pStyle w:val="Compact"/>
              <w:jc w:val="left"/>
            </w:pPr>
            <w:r>
              <w:rPr>
                <w:lang w:val="en"/>
              </w:rPr>
              <w:t xml:space="preserve">Actionable director-review findings are applied to the draft.</w:t>
            </w:r>
          </w:p>
        </w:tc>
      </w:tr>
      <w:tr>
        <w:tc>
          <w:tcPr/>
          <w:p>
            <w:pPr>
              <w:pStyle w:val="Compact"/>
              <w:jc w:val="left"/>
            </w:pPr>
            <w:r>
              <w:rPr>
                <w:bCs/>
                <w:b/>
                <w:lang w:val="en"/>
              </w:rPr>
              <w:t xml:space="preserve">Secretariat review</w:t>
            </w:r>
          </w:p>
        </w:tc>
        <w:tc>
          <w:tcPr/>
          <w:p>
            <w:pPr>
              <w:pStyle w:val="Compact"/>
              <w:jc w:val="left"/>
            </w:pPr>
            <w:r>
              <w:rPr>
                <w:lang w:val="en"/>
              </w:rPr>
              <w:t xml:space="preserve">New issues raised are logged in</w:t>
            </w:r>
            <w:r>
              <w:rPr>
                <w:lang w:val="en"/>
              </w:rPr>
              <w:t xml:space="preserve"> </w:t>
            </w:r>
            <w:r>
              <w:rPr>
                <w:rStyle w:val="VerbatimChar"/>
                <w:lang w:val="en"/>
              </w:rPr>
              <w:t xml:space="preserve">secretariat-review-vN.md</w:t>
            </w:r>
            <w:r>
              <w:rPr>
                <w:lang w:val="en"/>
              </w:rPr>
              <w:t xml:space="preserve"> </w:t>
            </w:r>
            <w:r>
              <w:rPr>
                <w:lang w:val="en"/>
              </w:rPr>
              <w:t xml:space="preserve">and feed the next triage cycle.</w:t>
            </w:r>
          </w:p>
        </w:tc>
      </w:tr>
      <w:tr>
        <w:tc>
          <w:tcPr/>
          <w:p>
            <w:pPr>
              <w:pStyle w:val="Compact"/>
              <w:jc w:val="left"/>
            </w:pPr>
            <w:r>
              <w:rPr>
                <w:bCs/>
                <w:b/>
                <w:lang w:val="en"/>
              </w:rPr>
              <w:t xml:space="preserve">Publication</w:t>
            </w:r>
          </w:p>
        </w:tc>
        <w:tc>
          <w:tcPr/>
          <w:p>
            <w:pPr>
              <w:pStyle w:val="Compact"/>
              <w:jc w:val="left"/>
            </w:pPr>
            <w:r>
              <w:rPr>
                <w:lang w:val="en"/>
              </w:rPr>
              <w:t xml:space="preserve">Approved circular published with DOI assignment.</w:t>
            </w:r>
          </w:p>
        </w:tc>
      </w:tr>
    </w:tbl>
    <w:p>
      <w:pPr>
        <w:pStyle w:val="BodyText"/>
      </w:pPr>
      <w:r>
        <w:rPr>
          <w:lang w:val="en"/>
        </w:rPr>
        <w:t xml:space="preserve">¶2</w:t>
      </w:r>
      <w:r>
        <w:rPr>
          <w:lang w:val="en"/>
        </w:rPr>
        <w:t xml:space="preserve"> </w:t>
      </w:r>
      <w:r>
        <w:rPr>
          <w:lang w:val="en"/>
        </w:rPr>
        <w:t xml:space="preserve">Internal production uses an extended triage / director-review / Secretariat-review pipeline. Details are documented in project tooling and are not part of this public-facing circular.</w:t>
      </w:r>
    </w:p>
    <w:bookmarkStart w:id="101" w:name="X97e90ce04ecb63f446c633dd182793462e97508"/>
    <w:p>
      <w:pPr>
        <w:pStyle w:val="Heading3"/>
      </w:pPr>
      <w:r>
        <w:rPr>
          <w:lang w:val="en"/>
        </w:rPr>
        <w:t xml:space="preserve">7.2</w:t>
      </w:r>
      <w:r>
        <w:rPr>
          <w:lang w:val="en"/>
        </w:rPr>
        <w:t xml:space="preserve"> </w:t>
      </w:r>
      <w:r>
        <w:rPr>
          <w:lang w:val="en"/>
        </w:rPr>
        <w:t xml:space="preserve">Publication Cadence</w:t>
      </w:r>
    </w:p>
    <w:p>
      <w:pPr>
        <w:pStyle w:val="FirstParagraph"/>
      </w:pPr>
      <w:hyperlink w:anchor="X97e90ce04ecb63f446c633dd182793462e97508">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“7.2 Publication Cadence”</w:t>
        </w:r>
      </w:hyperlink>
    </w:p>
    <w:bookmarkEnd w:id="101"/>
    <w:p>
      <w:pPr>
        <w:pStyle w:val="BodyText"/>
      </w:pPr>
      <w:r>
        <w:rPr>
          <w:lang w:val="en"/>
        </w:rPr>
        <w:t xml:space="preserve">¶1</w:t>
      </w:r>
      <w:r>
        <w:rPr>
          <w:lang w:val="en"/>
        </w:rPr>
        <w:t xml:space="preserve"> </w:t>
      </w:r>
      <w:r>
        <w:rPr>
          <w:lang w:val="en"/>
        </w:rPr>
        <w:t xml:space="preserve">Circulars are published on a monthly cadence following Secretariat review, with publication frequency varying by batch. Priority circulars may be fast-tracked, and updates to existing circulars are published as needed.</w:t>
      </w:r>
    </w:p>
    <w:p>
      <w:r>
        <w:pict>
          <v:rect style="width:0;height:1.5pt" o:hralign="center" o:hrstd="t" o:hr="t"/>
        </w:pict>
      </w:r>
    </w:p>
    <w:bookmarkStart w:id="104" w:name="X3aef4df5b72d054d80d562f293af77a9d5974eb"/>
    <w:p>
      <w:pPr>
        <w:pStyle w:val="Heading2"/>
      </w:pPr>
      <w:r>
        <w:rPr>
          <w:lang w:val="en"/>
        </w:rPr>
        <w:t xml:space="preserve">8.</w:t>
      </w:r>
      <w:r>
        <w:rPr>
          <w:lang w:val="en"/>
        </w:rPr>
        <w:t xml:space="preserve"> </w:t>
      </w:r>
      <w:r>
        <w:rPr>
          <w:lang w:val="en"/>
        </w:rPr>
        <w:t xml:space="preserve">Dependency and Prerequisites</w:t>
      </w:r>
    </w:p>
    <w:p>
      <w:pPr>
        <w:pStyle w:val="FirstParagraph"/>
      </w:pPr>
      <w:hyperlink w:anchor="X3aef4df5b72d054d80d562f293af77a9d5974eb">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“8. Dependency and Prerequisites”</w:t>
        </w:r>
      </w:hyperlink>
    </w:p>
    <w:bookmarkEnd w:id="104"/>
    <w:bookmarkStart w:id="107" w:name="X48f3bbaf5a419b17f74b0a0ccf5bae687628a15"/>
    <w:p>
      <w:pPr>
        <w:pStyle w:val="Heading3"/>
      </w:pPr>
      <w:r>
        <w:rPr>
          <w:lang w:val="en"/>
        </w:rPr>
        <w:t xml:space="preserve">8.1</w:t>
      </w:r>
      <w:r>
        <w:rPr>
          <w:lang w:val="en"/>
        </w:rPr>
        <w:t xml:space="preserve"> </w:t>
      </w:r>
      <w:r>
        <w:rPr>
          <w:lang w:val="en"/>
        </w:rPr>
        <w:t xml:space="preserve">Dependency Tracking</w:t>
      </w:r>
    </w:p>
    <w:p>
      <w:pPr>
        <w:pStyle w:val="FirstParagraph"/>
      </w:pPr>
      <w:hyperlink w:anchor="X48f3bbaf5a419b17f74b0a0ccf5bae687628a15">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“8.1 Dependency Tracking”</w:t>
        </w:r>
      </w:hyperlink>
    </w:p>
    <w:bookmarkEnd w:id="107"/>
    <w:p>
      <w:pPr>
        <w:pStyle w:val="BodyText"/>
      </w:pPr>
      <w:r>
        <w:rPr>
          <w:lang w:val="en"/>
        </w:rPr>
        <w:t xml:space="preserve">¶1</w:t>
      </w:r>
      <w:r>
        <w:rPr>
          <w:lang w:val="en"/>
        </w:rPr>
        <w:t xml:space="preserve"> </w:t>
      </w:r>
      <w:r>
        <w:rPr>
          <w:lang w:val="en"/>
        </w:rPr>
        <w:t xml:space="preserve">Dependencies are tracked in two ways:</w:t>
      </w:r>
    </w:p>
    <w:p>
      <w:pPr>
        <w:numPr>
          <w:ilvl w:val="0"/>
          <w:numId w:val="1012"/>
        </w:numPr>
        <w:pStyle w:val="Compact"/>
      </w:pPr>
      <w:r>
        <w:rPr>
          <w:lang w:val="en"/>
        </w:rPr>
        <w:t xml:space="preserve">¶2</w:t>
      </w:r>
      <w:r>
        <w:rPr>
          <w:lang w:val="en"/>
        </w:rPr>
        <w:t xml:space="preserve"> </w:t>
      </w:r>
      <w:r>
        <w:rPr>
          <w:bCs/>
          <w:b/>
          <w:lang w:val="en"/>
        </w:rPr>
        <w:t xml:space="preserve">YAML frontmatter</w:t>
      </w:r>
      <w:r>
        <w:rPr>
          <w:lang w:val="en"/>
        </w:rPr>
        <w:t xml:space="preserve">:</w:t>
      </w:r>
      <w:r>
        <w:rPr>
          <w:lang w:val="en"/>
        </w:rPr>
        <w:t xml:space="preserve"> </w:t>
      </w:r>
      <w:r>
        <w:rPr>
          <w:rStyle w:val="VerbatimChar"/>
          <w:lang w:val="en"/>
        </w:rPr>
        <w:t xml:space="preserve">prerequisites</w:t>
      </w:r>
      <w:r>
        <w:rPr>
          <w:lang w:val="en"/>
        </w:rPr>
        <w:t xml:space="preserve"> </w:t>
      </w:r>
      <w:r>
        <w:rPr>
          <w:lang w:val="en"/>
        </w:rPr>
        <w:t xml:space="preserve">and</w:t>
      </w:r>
      <w:r>
        <w:rPr>
          <w:lang w:val="en"/>
        </w:rPr>
        <w:t xml:space="preserve"> </w:t>
      </w:r>
      <w:r>
        <w:rPr>
          <w:rStyle w:val="VerbatimChar"/>
          <w:lang w:val="en"/>
        </w:rPr>
        <w:t xml:space="preserve">enables</w:t>
      </w:r>
      <w:r>
        <w:rPr>
          <w:lang w:val="en"/>
        </w:rPr>
        <w:t xml:space="preserve"> </w:t>
      </w:r>
      <w:r>
        <w:rPr>
          <w:lang w:val="en"/>
        </w:rPr>
        <w:t xml:space="preserve">fields in each circular</w:t>
      </w:r>
    </w:p>
    <w:p>
      <w:pPr>
        <w:numPr>
          <w:ilvl w:val="0"/>
          <w:numId w:val="1012"/>
        </w:numPr>
        <w:pStyle w:val="Compact"/>
      </w:pPr>
      <w:r>
        <w:rPr>
          <w:lang w:val="en"/>
        </w:rPr>
        <w:t xml:space="preserve">¶3</w:t>
      </w:r>
      <w:r>
        <w:rPr>
          <w:lang w:val="en"/>
        </w:rPr>
        <w:t xml:space="preserve"> </w:t>
      </w:r>
      <w:r>
        <w:rPr>
          <w:bCs/>
          <w:b/>
          <w:lang w:val="en"/>
        </w:rPr>
        <w:t xml:space="preserve">Prose requirements section</w:t>
      </w:r>
      <w:r>
        <w:rPr>
          <w:lang w:val="en"/>
        </w:rPr>
        <w:t xml:space="preserve">: Human-readable list with hyperlinks (Section 2 of each circular)</w:t>
      </w:r>
    </w:p>
    <w:p>
      <w:pPr>
        <w:pStyle w:val="FirstParagraph"/>
      </w:pPr>
      <w:r>
        <w:rPr>
          <w:lang w:val="en"/>
        </w:rPr>
        <w:t xml:space="preserve">¶4</w:t>
      </w:r>
      <w:r>
        <w:rPr>
          <w:lang w:val="en"/>
        </w:rPr>
        <w:t xml:space="preserve"> </w:t>
      </w:r>
      <w:r>
        <w:rPr>
          <w:lang w:val="en"/>
        </w:rPr>
        <w:t xml:space="preserve">The</w:t>
      </w:r>
      <w:r>
        <w:rPr>
          <w:lang w:val="en"/>
        </w:rPr>
        <w:t xml:space="preserve"> </w:t>
      </w:r>
      <w:r>
        <w:rPr>
          <w:rStyle w:val="VerbatimChar"/>
          <w:lang w:val="en"/>
        </w:rPr>
        <w:t xml:space="preserve">prerequisites</w:t>
      </w:r>
      <w:r>
        <w:rPr>
          <w:lang w:val="en"/>
        </w:rPr>
        <w:t xml:space="preserve"> </w:t>
      </w:r>
      <w:r>
        <w:rPr>
          <w:lang w:val="en"/>
        </w:rPr>
        <w:t xml:space="preserve">field and the prose Requirements section must be kept synchronised. The</w:t>
      </w:r>
      <w:r>
        <w:rPr>
          <w:lang w:val="en"/>
        </w:rPr>
        <w:t xml:space="preserve"> </w:t>
      </w:r>
      <w:r>
        <w:rPr>
          <w:rStyle w:val="VerbatimChar"/>
          <w:lang w:val="en"/>
        </w:rPr>
        <w:t xml:space="preserve">enables</w:t>
      </w:r>
      <w:r>
        <w:rPr>
          <w:lang w:val="en"/>
        </w:rPr>
        <w:t xml:space="preserve"> </w:t>
      </w:r>
      <w:r>
        <w:rPr>
          <w:lang w:val="en"/>
        </w:rPr>
        <w:t xml:space="preserve">field is machine-readable only and has no prescribed prose counterpart.</w:t>
      </w:r>
    </w:p>
    <w:bookmarkStart w:id="110" w:name="Xacdc1d068339d3fe1ca6bbf2c01c9adf9c0110e"/>
    <w:p>
      <w:pPr>
        <w:pStyle w:val="Heading3"/>
      </w:pPr>
      <w:r>
        <w:rPr>
          <w:lang w:val="en"/>
        </w:rPr>
        <w:t xml:space="preserve">8.2</w:t>
      </w:r>
      <w:r>
        <w:rPr>
          <w:lang w:val="en"/>
        </w:rPr>
        <w:t xml:space="preserve"> </w:t>
      </w:r>
      <w:r>
        <w:rPr>
          <w:lang w:val="en"/>
        </w:rPr>
        <w:t xml:space="preserve">Dependency Principles</w:t>
      </w:r>
    </w:p>
    <w:p>
      <w:pPr>
        <w:pStyle w:val="FirstParagraph"/>
      </w:pPr>
      <w:hyperlink w:anchor="Xacdc1d068339d3fe1ca6bbf2c01c9adf9c0110e">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“8.2 Dependency Principles”</w:t>
        </w:r>
      </w:hyperlink>
    </w:p>
    <w:bookmarkEnd w:id="110"/>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Principle</w:t>
            </w:r>
          </w:p>
        </w:tc>
        <w:tc>
          <w:tcPr/>
          <w:p>
            <w:pPr>
              <w:pStyle w:val="Compact"/>
              <w:jc w:val="left"/>
            </w:pPr>
            <w:r>
              <w:rPr>
                <w:lang w:val="en"/>
              </w:rPr>
              <w:t xml:space="preserve">Guidance</w:t>
            </w:r>
          </w:p>
        </w:tc>
      </w:tr>
      <w:tr>
        <w:tc>
          <w:tcPr/>
          <w:p>
            <w:pPr>
              <w:pStyle w:val="Compact"/>
              <w:jc w:val="left"/>
            </w:pPr>
            <w:r>
              <w:rPr>
                <w:bCs/>
                <w:b/>
                <w:lang w:val="en"/>
              </w:rPr>
              <w:t xml:space="preserve">Explicit prerequisites</w:t>
            </w:r>
          </w:p>
        </w:tc>
        <w:tc>
          <w:tcPr/>
          <w:p>
            <w:pPr>
              <w:pStyle w:val="Compact"/>
              <w:jc w:val="left"/>
            </w:pPr>
            <w:r>
              <w:rPr>
                <w:lang w:val="en"/>
              </w:rPr>
              <w:t xml:space="preserve">Only list circulars that are genuinely required.</w:t>
            </w:r>
          </w:p>
        </w:tc>
      </w:tr>
      <w:tr>
        <w:tc>
          <w:tcPr/>
          <w:p>
            <w:pPr>
              <w:pStyle w:val="Compact"/>
              <w:jc w:val="left"/>
            </w:pPr>
            <w:r>
              <w:rPr>
                <w:bCs/>
                <w:b/>
                <w:lang w:val="en"/>
              </w:rPr>
              <w:t xml:space="preserve">Minimal dependencies</w:t>
            </w:r>
          </w:p>
        </w:tc>
        <w:tc>
          <w:tcPr/>
          <w:p>
            <w:pPr>
              <w:pStyle w:val="Compact"/>
              <w:jc w:val="left"/>
            </w:pPr>
            <w:r>
              <w:rPr>
                <w:lang w:val="en"/>
              </w:rPr>
              <w:t xml:space="preserve">Avoid unnecessary prerequisites that create barriers.</w:t>
            </w:r>
          </w:p>
        </w:tc>
      </w:tr>
      <w:tr>
        <w:tc>
          <w:tcPr/>
          <w:p>
            <w:pPr>
              <w:pStyle w:val="Compact"/>
              <w:jc w:val="left"/>
            </w:pPr>
            <w:r>
              <w:rPr>
                <w:bCs/>
                <w:b/>
                <w:lang w:val="en"/>
              </w:rPr>
              <w:t xml:space="preserve">Bidirectional tracking</w:t>
            </w:r>
          </w:p>
        </w:tc>
        <w:tc>
          <w:tcPr/>
          <w:p>
            <w:pPr>
              <w:pStyle w:val="Compact"/>
              <w:jc w:val="left"/>
            </w:pPr>
            <w:r>
              <w:rPr>
                <w:lang w:val="en"/>
              </w:rPr>
              <w:t xml:space="preserve">When adding a prerequisite, update the</w:t>
            </w:r>
            <w:r>
              <w:rPr>
                <w:lang w:val="en"/>
              </w:rPr>
              <w:t xml:space="preserve"> </w:t>
            </w:r>
            <w:r>
              <w:rPr>
                <w:rStyle w:val="VerbatimChar"/>
                <w:lang w:val="en"/>
              </w:rPr>
              <w:t xml:space="preserve">enables</w:t>
            </w:r>
            <w:r>
              <w:rPr>
                <w:lang w:val="en"/>
              </w:rPr>
              <w:t xml:space="preserve"> </w:t>
            </w:r>
            <w:r>
              <w:rPr>
                <w:lang w:val="en"/>
              </w:rPr>
              <w:t xml:space="preserve">field of the prerequisite circular.</w:t>
            </w:r>
          </w:p>
        </w:tc>
      </w:tr>
      <w:tr>
        <w:tc>
          <w:tcPr/>
          <w:p>
            <w:pPr>
              <w:pStyle w:val="Compact"/>
              <w:jc w:val="left"/>
            </w:pPr>
            <w:r>
              <w:rPr>
                <w:bCs/>
                <w:b/>
                <w:lang w:val="en"/>
              </w:rPr>
              <w:t xml:space="preserve">Foundational circulars</w:t>
            </w:r>
          </w:p>
        </w:tc>
        <w:tc>
          <w:tcPr/>
          <w:p>
            <w:pPr>
              <w:pStyle w:val="Compact"/>
              <w:jc w:val="left"/>
            </w:pPr>
            <w:r>
              <w:rPr>
                <w:lang w:val="en"/>
              </w:rPr>
              <w:t xml:space="preserve">Explicit listing of foundational circulars (e.g., TG-0.1) is recommended even when transitively covered; omit only for mid-chain intermediaries.</w:t>
            </w:r>
          </w:p>
        </w:tc>
      </w:tr>
    </w:tbl>
    <w:bookmarkStart w:id="113" w:name="X737b13e171131b0839fa56b125a8dc58ad70bf5"/>
    <w:p>
      <w:pPr>
        <w:pStyle w:val="Heading3"/>
      </w:pPr>
      <w:r>
        <w:rPr>
          <w:lang w:val="en"/>
        </w:rPr>
        <w:t xml:space="preserve">8.3</w:t>
      </w:r>
      <w:r>
        <w:rPr>
          <w:lang w:val="en"/>
        </w:rPr>
        <w:t xml:space="preserve"> </w:t>
      </w:r>
      <w:r>
        <w:rPr>
          <w:lang w:val="en"/>
        </w:rPr>
        <w:t xml:space="preserve">Dependency Graph</w:t>
      </w:r>
    </w:p>
    <w:p>
      <w:pPr>
        <w:pStyle w:val="FirstParagraph"/>
      </w:pPr>
      <w:hyperlink w:anchor="X737b13e171131b0839fa56b125a8dc58ad70bf5">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“8.3 Dependency Graph”</w:t>
        </w:r>
      </w:hyperlink>
    </w:p>
    <w:bookmarkEnd w:id="113"/>
    <w:p>
      <w:pPr>
        <w:pStyle w:val="BodyText"/>
      </w:pPr>
      <w:r>
        <w:rPr>
          <w:lang w:val="en"/>
        </w:rPr>
        <w:t xml:space="preserve">¶1</w:t>
      </w:r>
      <w:r>
        <w:rPr>
          <w:lang w:val="en"/>
        </w:rPr>
        <w:t xml:space="preserve"> </w:t>
      </w:r>
      <w:r>
        <w:rPr>
          <w:lang w:val="en"/>
        </w:rPr>
        <w:t xml:space="preserve">See</w:t>
      </w:r>
      <w:r>
        <w:rPr>
          <w:lang w:val="en"/>
        </w:rPr>
        <w:t xml:space="preserve"> </w:t>
      </w:r>
      <w:hyperlink r:id="rId50">
        <w:r>
          <w:rPr>
            <w:rStyle w:val="Hyperlink"/>
            <w:lang w:val="en"/>
          </w:rPr>
          <w:t xml:space="preserve">TG-0.5 Navigating the Technical Guidance</w:t>
        </w:r>
      </w:hyperlink>
      <w:r>
        <w:rPr>
          <w:lang w:val="en"/>
        </w:rPr>
        <w:t xml:space="preserve"> </w:t>
      </w:r>
      <w:r>
        <w:rPr>
          <w:lang w:val="en"/>
        </w:rPr>
        <w:t xml:space="preserve">for the visual dependency graph.</w:t>
      </w:r>
    </w:p>
    <w:p>
      <w:r>
        <w:pict>
          <v:rect style="width:0;height:1.5pt" o:hralign="center" o:hrstd="t" o:hr="t"/>
        </w:pict>
      </w:r>
    </w:p>
    <w:bookmarkStart w:id="116" w:name="X157b1d23691bced99795023b935081b6f6e05dd"/>
    <w:p>
      <w:pPr>
        <w:pStyle w:val="Heading2"/>
      </w:pPr>
      <w:r>
        <w:rPr>
          <w:lang w:val="en"/>
        </w:rPr>
        <w:t xml:space="preserve">9.</w:t>
      </w:r>
      <w:r>
        <w:rPr>
          <w:lang w:val="en"/>
        </w:rPr>
        <w:t xml:space="preserve"> </w:t>
      </w:r>
      <w:r>
        <w:rPr>
          <w:lang w:val="en"/>
        </w:rPr>
        <w:t xml:space="preserve">Cross-Cutting Themes</w:t>
      </w:r>
    </w:p>
    <w:p>
      <w:pPr>
        <w:pStyle w:val="FirstParagraph"/>
      </w:pPr>
      <w:hyperlink w:anchor="X157b1d23691bced99795023b935081b6f6e05dd">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“9. Cross-Cutting Themes”</w:t>
        </w:r>
      </w:hyperlink>
    </w:p>
    <w:bookmarkEnd w:id="116"/>
    <w:p>
      <w:pPr>
        <w:pStyle w:val="BodyText"/>
      </w:pPr>
      <w:r>
        <w:rPr>
          <w:lang w:val="en"/>
        </w:rPr>
        <w:t xml:space="preserve">¶1</w:t>
      </w:r>
      <w:r>
        <w:rPr>
          <w:lang w:val="en"/>
        </w:rPr>
        <w:t xml:space="preserve"> </w:t>
      </w:r>
      <w:r>
        <w:rPr>
          <w:lang w:val="en"/>
        </w:rPr>
        <w:t xml:space="preserve">Cross-cutting themes are catalogued in</w:t>
      </w:r>
      <w:r>
        <w:rPr>
          <w:lang w:val="en"/>
        </w:rPr>
        <w:t xml:space="preserve"> </w:t>
      </w:r>
      <w:hyperlink r:id="rId50">
        <w:r>
          <w:rPr>
            <w:rStyle w:val="Hyperlink"/>
            <w:lang w:val="en"/>
          </w:rPr>
          <w:t xml:space="preserve">TG-0.5 Navigating the Technical Guidance</w:t>
        </w:r>
      </w:hyperlink>
      <w:r>
        <w:rPr>
          <w:lang w:val="en"/>
        </w:rPr>
        <w:t xml:space="preserve">. Authors should ensure consistency with the treatments described there. Key threads include: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Theme</w:t>
            </w:r>
          </w:p>
        </w:tc>
        <w:tc>
          <w:tcPr/>
          <w:p>
            <w:pPr>
              <w:pStyle w:val="Compact"/>
              <w:jc w:val="left"/>
            </w:pPr>
            <w:r>
              <w:rPr>
                <w:lang w:val="en"/>
              </w:rPr>
              <w:t xml:space="preserve">Thread</w:t>
            </w:r>
          </w:p>
        </w:tc>
      </w:tr>
      <w:tr>
        <w:tc>
          <w:tcPr/>
          <w:p>
            <w:pPr>
              <w:pStyle w:val="Compact"/>
              <w:jc w:val="left"/>
            </w:pPr>
            <w:r>
              <w:rPr>
                <w:lang w:val="en"/>
              </w:rPr>
              <w:t xml:space="preserve">Spatial methods</w:t>
            </w:r>
          </w:p>
        </w:tc>
        <w:tc>
          <w:tcPr/>
          <w:p>
            <w:pPr>
              <w:pStyle w:val="Compact"/>
              <w:jc w:val="left"/>
            </w:pPr>
            <w:r>
              <w:rPr>
                <w:lang w:val="en"/>
              </w:rPr>
              <w:t xml:space="preserve">0.1 (BSU concept) → 3.1 (spatial asset delineation) → 4.1 (remote sensing) → 6.x (ecosystem-specific)</w:t>
            </w:r>
          </w:p>
        </w:tc>
      </w:tr>
      <w:tr>
        <w:tc>
          <w:tcPr/>
          <w:p>
            <w:pPr>
              <w:pStyle w:val="Compact"/>
              <w:jc w:val="left"/>
            </w:pPr>
            <w:r>
              <w:rPr>
                <w:lang w:val="en"/>
              </w:rPr>
              <w:t xml:space="preserve">Monetary valuation</w:t>
            </w:r>
          </w:p>
        </w:tc>
        <w:tc>
          <w:tcPr/>
          <w:p>
            <w:pPr>
              <w:pStyle w:val="Compact"/>
              <w:jc w:val="left"/>
            </w:pPr>
            <w:r>
              <w:rPr>
                <w:lang w:val="en"/>
              </w:rPr>
              <w:t xml:space="preserve">1.9 (whether and when to value) → 2.4 §3.10 (method preference order and the methods themselves) → 3.1 §3.3 (asset-level NPV) → 6.x (context-specific) → 5.x (case studies)</w:t>
            </w:r>
          </w:p>
        </w:tc>
      </w:tr>
      <w:tr>
        <w:tc>
          <w:tcPr/>
          <w:p>
            <w:pPr>
              <w:pStyle w:val="Compact"/>
              <w:jc w:val="left"/>
            </w:pPr>
            <w:r>
              <w:rPr>
                <w:lang w:val="en"/>
              </w:rPr>
              <w:t xml:space="preserve">Uncertainty</w:t>
            </w:r>
          </w:p>
        </w:tc>
        <w:tc>
          <w:tcPr/>
          <w:p>
            <w:pPr>
              <w:pStyle w:val="Compact"/>
              <w:jc w:val="left"/>
            </w:pPr>
            <w:r>
              <w:rPr>
                <w:lang w:val="en"/>
              </w:rPr>
              <w:t xml:space="preserve">0.7 (QA principles) → relevant methods circulars</w:t>
            </w:r>
          </w:p>
        </w:tc>
      </w:tr>
      <w:tr>
        <w:tc>
          <w:tcPr/>
          <w:p>
            <w:pPr>
              <w:pStyle w:val="Compact"/>
              <w:jc w:val="left"/>
            </w:pPr>
            <w:r>
              <w:rPr>
                <w:lang w:val="en"/>
              </w:rPr>
              <w:t xml:space="preserve">Governance</w:t>
            </w:r>
          </w:p>
        </w:tc>
        <w:tc>
          <w:tcPr/>
          <w:p>
            <w:pPr>
              <w:pStyle w:val="Compact"/>
              <w:jc w:val="left"/>
            </w:pPr>
            <w:r>
              <w:rPr>
                <w:lang w:val="en"/>
              </w:rPr>
              <w:t xml:space="preserve">1.1—1.2 (decision-making entry points) → 3.7 (governance accounts) → 5.x (all case studies)</w:t>
            </w:r>
          </w:p>
        </w:tc>
      </w:tr>
      <w:tr>
        <w:tc>
          <w:tcPr/>
          <w:p>
            <w:pPr>
              <w:pStyle w:val="Compact"/>
              <w:jc w:val="left"/>
            </w:pPr>
            <w:r>
              <w:rPr>
                <w:lang w:val="en"/>
              </w:rPr>
              <w:t xml:space="preserve">Traditional knowledge</w:t>
            </w:r>
          </w:p>
        </w:tc>
        <w:tc>
          <w:tcPr/>
          <w:p>
            <w:pPr>
              <w:pStyle w:val="Compact"/>
              <w:jc w:val="left"/>
            </w:pPr>
            <w:r>
              <w:rPr>
                <w:lang w:val="en"/>
              </w:rPr>
              <w:t xml:space="preserve">0.1 (conceptual framing) → 3.6 (traditional knowledge accounts) → 5.x (case studies)</w:t>
            </w:r>
          </w:p>
        </w:tc>
      </w:tr>
      <w:tr>
        <w:tc>
          <w:tcPr/>
          <w:p>
            <w:pPr>
              <w:pStyle w:val="Compact"/>
              <w:jc w:val="left"/>
            </w:pPr>
            <w:r>
              <w:rPr>
                <w:lang w:val="en"/>
              </w:rPr>
              <w:t xml:space="preserve">Sub-national applicability</w:t>
            </w:r>
          </w:p>
        </w:tc>
        <w:tc>
          <w:tcPr/>
          <w:p>
            <w:pPr>
              <w:pStyle w:val="Compact"/>
              <w:jc w:val="left"/>
            </w:pPr>
            <w:r>
              <w:rPr>
                <w:lang w:val="en"/>
              </w:rPr>
              <w:t xml:space="preserve">3.11 (sub-national accounts) → 5.x (case studies, where applicable)</w:t>
            </w:r>
          </w:p>
        </w:tc>
      </w:tr>
      <w:tr>
        <w:tc>
          <w:tcPr/>
          <w:p>
            <w:pPr>
              <w:pStyle w:val="Compact"/>
              <w:jc w:val="left"/>
            </w:pPr>
            <w:r>
              <w:rPr>
                <w:lang w:val="en"/>
              </w:rPr>
              <w:t xml:space="preserve">Ocean economy</w:t>
            </w:r>
          </w:p>
        </w:tc>
        <w:tc>
          <w:tcPr/>
          <w:p>
            <w:pPr>
              <w:pStyle w:val="Compact"/>
              <w:jc w:val="left"/>
            </w:pPr>
            <w:r>
              <w:rPr>
                <w:lang w:val="en"/>
              </w:rPr>
              <w:t xml:space="preserve">1.0 (terms, and what an account can certify) → 3.3 (boundary and account) → 2.5 (indicators) → 1.1 / 1.10 (use) → 5.x (case studies)</w:t>
            </w:r>
          </w:p>
        </w:tc>
      </w:tr>
    </w:tbl>
    <w:p>
      <w:r>
        <w:pict>
          <v:rect style="width:0;height:1.5pt" o:hralign="center" o:hrstd="t" o:hr="t"/>
        </w:pict>
      </w:r>
    </w:p>
    <w:bookmarkStart w:id="119" w:name="X221b91a27fbaea4f5f52a904b95013f515eb5e8"/>
    <w:p>
      <w:pPr>
        <w:pStyle w:val="Heading2"/>
      </w:pPr>
      <w:r>
        <w:rPr>
          <w:lang w:val="en"/>
        </w:rPr>
        <w:t xml:space="preserve">10.</w:t>
      </w:r>
      <w:r>
        <w:rPr>
          <w:lang w:val="en"/>
        </w:rPr>
        <w:t xml:space="preserve"> </w:t>
      </w:r>
      <w:r>
        <w:rPr>
          <w:lang w:val="en"/>
        </w:rPr>
        <w:t xml:space="preserve">Acknowledgements</w:t>
      </w:r>
    </w:p>
    <w:p>
      <w:pPr>
        <w:pStyle w:val="FirstParagraph"/>
      </w:pPr>
      <w:hyperlink w:anchor="X221b91a27fbaea4f5f52a904b95013f515eb5e8">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“10. Acknowledgements”</w:t>
        </w:r>
      </w:hyperlink>
    </w:p>
    <w:bookmarkEnd w:id="11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p>
      <w:r>
        <w:pict>
          <v:rect style="width:0;height:1.5pt" o:hralign="center" o:hrstd="t" o:hr="t"/>
        </w:pict>
      </w:r>
    </w:p>
    <w:bookmarkStart w:id="122" w:name="X726793783ba4ae7f9802481ba226d33bdbc715c"/>
    <w:p>
      <w:pPr>
        <w:pStyle w:val="Heading2"/>
      </w:pPr>
      <w:r>
        <w:rPr>
          <w:lang w:val="en"/>
        </w:rPr>
        <w:t xml:space="preserve">11.</w:t>
      </w:r>
      <w:r>
        <w:rPr>
          <w:lang w:val="en"/>
        </w:rPr>
        <w:t xml:space="preserve"> </w:t>
      </w:r>
      <w:r>
        <w:rPr>
          <w:lang w:val="en"/>
        </w:rPr>
        <w:t xml:space="preserve">References</w:t>
      </w:r>
    </w:p>
    <w:p>
      <w:pPr>
        <w:pStyle w:val="FirstParagraph"/>
      </w:pPr>
      <w:hyperlink w:anchor="X726793783ba4ae7f9802481ba226d33bdbc715c">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“11. References”</w:t>
        </w:r>
      </w:hyperlink>
    </w:p>
    <w:bookmarkEnd w:id="122"/>
    <w:p>
      <w:pPr>
        <w:numPr>
          <w:ilvl w:val="0"/>
          <w:numId w:val="1013"/>
        </w:numPr>
      </w:pPr>
      <w:r>
        <w:rPr>
          <w:lang w:val="en"/>
        </w:rPr>
        <w:t xml:space="preserve">¶1</w:t>
      </w:r>
      <w:r>
        <w:rPr>
          <w:lang w:val="en"/>
        </w:rPr>
        <w:t xml:space="preserve"> </w:t>
      </w:r>
    </w:p>
    <w:p>
      <w:pPr>
        <w:numPr>
          <w:ilvl w:val="0"/>
          <w:numId w:val="1000"/>
        </w:numPr>
      </w:pPr>
      <w:r>
        <w:rPr>
          <w:lang w:val="en"/>
        </w:rPr>
        <w:t xml:space="preserve">GOAP. (2024).</w:t>
      </w:r>
      <w:r>
        <w:rPr>
          <w:lang w:val="en"/>
        </w:rPr>
        <w:t xml:space="preserve"> </w:t>
      </w:r>
      <w:r>
        <w:rPr>
          <w:iCs/>
          <w:i/>
          <w:lang w:val="en"/>
        </w:rPr>
        <w:t xml:space="preserve">Discussion Paper: Modular Structure for GOAP Technical Guidance</w:t>
      </w:r>
      <w:r>
        <w:rPr>
          <w:lang w:val="en"/>
        </w:rPr>
        <w:t xml:space="preserve"> </w:t>
      </w:r>
      <w:r>
        <w:rPr>
          <w:lang w:val="en"/>
        </w:rPr>
        <w:t xml:space="preserve">(internal working paper, GOAP Secretariat, not publicly distributed). Global Ocean Accounts Partnership.</w:t>
      </w:r>
    </w:p>
    <w:p>
      <w:pPr>
        <w:numPr>
          <w:ilvl w:val="0"/>
          <w:numId w:val="1013"/>
        </w:numPr>
      </w:pPr>
      <w:r>
        <w:rPr>
          <w:lang w:val="en"/>
        </w:rPr>
        <w:t xml:space="preserve">¶2</w:t>
      </w:r>
      <w:r>
        <w:rPr>
          <w:lang w:val="en"/>
        </w:rPr>
        <w:t xml:space="preserve"> </w:t>
      </w:r>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United Nations.</w:t>
      </w:r>
    </w:p>
    <w:p>
      <w:pPr>
        <w:numPr>
          <w:ilvl w:val="0"/>
          <w:numId w:val="1013"/>
        </w:numPr>
      </w:pPr>
      <w:r>
        <w:rPr>
          <w:lang w:val="en"/>
        </w:rPr>
        <w:t xml:space="preserve">¶3</w:t>
      </w:r>
      <w:r>
        <w:rPr>
          <w:lang w:val="en"/>
        </w:rPr>
        <w:t xml:space="preserve"> </w:t>
      </w:r>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United Nations.</w:t>
      </w:r>
    </w:p>
    <w:p>
      <w:pPr>
        <w:numPr>
          <w:ilvl w:val="0"/>
          <w:numId w:val="1013"/>
        </w:numPr>
      </w:pPr>
      <w:r>
        <w:rPr>
          <w:lang w:val="en"/>
        </w:rPr>
        <w:t xml:space="preserve">¶4</w:t>
      </w:r>
      <w:r>
        <w:rPr>
          <w:lang w:val="en"/>
        </w:rPr>
        <w:t xml:space="preserve"> </w:t>
      </w:r>
    </w:p>
    <w:p>
      <w:pPr>
        <w:numPr>
          <w:ilvl w:val="0"/>
          <w:numId w:val="1000"/>
        </w:numPr>
      </w:pPr>
      <w:r>
        <w:rPr>
          <w:lang w:val="en"/>
        </w:rPr>
        <w:t xml:space="preserve">UNECE. (2019).</w:t>
      </w:r>
      <w:r>
        <w:rPr>
          <w:lang w:val="en"/>
        </w:rPr>
        <w:t xml:space="preserve"> </w:t>
      </w:r>
      <w:r>
        <w:rPr>
          <w:iCs/>
          <w:i/>
          <w:lang w:val="en"/>
        </w:rPr>
        <w:t xml:space="preserve">Generic Statistical Business Process Model (GSBPM)</w:t>
      </w:r>
      <w:r>
        <w:rPr>
          <w:lang w:val="en"/>
        </w:rPr>
        <w:t xml:space="preserve">, Version 5.1.</w:t>
      </w:r>
    </w:p>
    <w:bookmarkStart w:id="123" w:name="tg-peek-card"/>
    <w:bookmarkEnd w:id="1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50" Target="https://guidance.oceanaccounts.org/circulars/section-0/0-5-navigating"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50" Target="https://guidance.oceanaccounts.org/circulars/section-0/0-5-navigat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 and Focus of the Technical Guidance | Global Ocean Accounts Partnership</dc:title>
  <dc:creator/>
  <dc:description>Explains how the Technical Guidance is organised, the meta-structure each circular follows, and the conventions for versioning and stability badges.</dc:description>
  <dc:language>en</dc:language>
  <cp:keywords/>
  <dcterms:created xsi:type="dcterms:W3CDTF">2026-10-23T04:11:56Z</dcterms:created>
  <dcterms:modified xsi:type="dcterms:W3CDTF">2026-10-23T04:11:56Z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https://guidance.oceanaccounts.org/circulars/section-0/0-4-structure/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Structure and Focus of the Technical Guidance</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Structure and Focus of the Technical Guidance</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